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SamEnV — Kennzeichnung von Eizellen und Embryonen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(1) Bei Gewinnung durch eine Embryo-Entnahmeeinheit sind die nicht zur unmittelbaren Übertragung vorgesehenen Eizellen und Embryonen unmittelbar nach ihrer Gewinnung mindestens durch folgende Angaben auf den Behältnissen zu kennzeichnen:</w:t>
      </w:r>
    </w:p>
    <w:p>
      <w:pPr>
        <w:ind w:left="420"/>
      </w:pPr>
      <w:r>
        <w:t xml:space="preserve">1. das Gewinnungsdatum,</w:t>
      </w:r>
    </w:p>
    <w:p>
      <w:pPr>
        <w:ind w:left="420"/>
      </w:pPr>
      <w:r>
        <w:t xml:space="preserve">2. die Rasse und die Zuchtbuchnummer des weiblichen Spendertieres,</w:t>
      </w:r>
    </w:p>
    <w:p>
      <w:pPr>
        <w:ind w:left="420"/>
      </w:pPr>
      <w:r>
        <w:t xml:space="preserve">3. bei mehreren Eizellen oder Embryonen aus einem Gewinnungsvorgang die laufende Nummer und</w:t>
      </w:r>
    </w:p>
    <w:p>
      <w:pPr>
        <w:ind w:left="420"/>
      </w:pPr>
      <w:r>
        <w:t xml:space="preserve">4. die Kennzeichnungsnummer der Embryo-Entnahmeeinheit nach § 12.</w:t>
      </w:r>
    </w:p>
    <w:p>
      <w:r>
        <w:t xml:space="preserve">Bei Embryonen sind zusätzlich die Rasse, die Namen und die Zuchtbuch- oder die Zuchtregisternummern der zur Befruchtung verwendeten Vatertiere auf den Behältnissen aufzuführen.</w:t>
      </w:r>
    </w:p>
    <w:p>
      <w:r>
        <w:t xml:space="preserve">(2) Bei Eizellen und Embryonen von registrierten Zuchttieren sind bei den Angaben nach Absatz 1 Satz 1 Nr. 2 und Satz 2 anstelle der Rasse jeweils die Bezeichnung des Verkaufserzeugnisses nach § 4 Abs. 1 Nr. 3 des Tierzuchtgesetzes sowie eine Bezeichnung der Linie der Spendertiere und anstelle der Zuchtbuchnummer die Zuchtregisternummer zu verwenden.</w:t>
      </w:r>
    </w:p>
    <w:p>
      <w:r>
        <w:t xml:space="preserve">(3) Die Angaben zur Kennzeichnung von Eizellen und Embryonen, die in sonstigen Embryo-Entnahmeeinheiten gewonnen, gelagert oder abgegeben werden, stehen den Angaben nach Absatz 1 gleich. Anstelle des Gewinnungsdatums nach Absatz 1 Satz 1 Nr. 1 wird das Entnahmedatum und anstelle der Kennzeichnungsnummer der herstellenden Embryo-Entnahmeeinheit nach Absatz 1 Satz 1 Nr. 4 wird die Veterinärkontrollnummer nach § 16 Satz 3 der Binnenmarkt-Tierseuchenschutzverordnung angegeben.</w:t>
      </w:r>
    </w:p>
    <w:p>
      <w:r>
        <w:rPr>
          <w:color w:val="555555"/>
          <w:sz w:val="17"/>
        </w:rPr>
        <w:t xml:space="preserve">Zitiervorschlag: § 13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