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SachvRatG</w:t>
      </w:r>
    </w:p>
    <w:p>
      <w:r>
        <w:rPr>
          <w:color w:val="555555"/>
          <w:sz w:val="18"/>
        </w:rPr>
        <w:t xml:space="preserve">Gesetz über die Bildung eines Sachverständigenrates zur Begutachtung der gesamtwirtschaftlichen Entwicklung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Beschlüsse des Sachverständigenrates bedürfen der Zustimmung von mindestens drei Mitgliedern.</w:t>
      </w:r>
    </w:p>
    <w:p>
      <w:r>
        <w:t xml:space="preserve">(2) Der Sachverständigenrat wählt aus seiner Mitte einen Vorsitzenden für die Dauer von drei Jahren.</w:t>
      </w:r>
    </w:p>
    <w:p>
      <w:r>
        <w:t xml:space="preserve">(3) Der Sachverständigenrat gibt sich eine Geschäftsordnung.</w:t>
      </w:r>
    </w:p>
    <w:p>
      <w:r>
        <w:rPr>
          <w:color w:val="555555"/>
          <w:sz w:val="17"/>
        </w:rPr>
        <w:t xml:space="preserve">Zitiervorschlag: § 8 SachvRatG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https://recht.nulegal.eu/gesetze/SachvRatG/8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