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SachvRatG</w:t>
      </w:r>
    </w:p>
    <w:p>
      <w:r>
        <w:rPr>
          <w:color w:val="555555"/>
          <w:sz w:val="18"/>
        </w:rPr>
        <w:t xml:space="preserve">Gesetz über die Bildung eines Sachverständigenrates zur Begutachtung der gesamtwirtschaftlichen Entwicklung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Sachverständigenrat kann, soweit er es zur Durchführung seines Auftrages für erforderlich hält, die fachlich zuständigen Bundesministerien und den Präsidenten der Deutschen Bundesbank hören.</w:t>
      </w:r>
    </w:p>
    <w:p>
      <w:r>
        <w:t xml:space="preserve">(2) Die fachlich zuständigen Bundesministerien und der Präsident der Deutschen Bundesbank sind auf ihr Verlangen zu hören.</w:t>
      </w:r>
    </w:p>
    <w:p>
      <w:r>
        <w:t xml:space="preserve">(3) Die Behörden des Bundes und der Länder leisten dem Sachverständigenrat Amtshilfe.</w:t>
      </w:r>
    </w:p>
    <w:p>
      <w:r>
        <w:rPr>
          <w:color w:val="555555"/>
          <w:sz w:val="17"/>
        </w:rPr>
        <w:t xml:space="preserve">Zitiervorschlag: § 5 SachvRatG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https://recht.nulegal.eu/gesetze/SachvRatG/5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