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SachvRatG</w:t>
      </w:r>
    </w:p>
    <w:p>
      <w:r>
        <w:rPr>
          <w:color w:val="555555"/>
          <w:sz w:val="18"/>
        </w:rPr>
        <w:t xml:space="preserve">Gesetz über die Bildung eines Sachverständigenrates zur Begutachtung der gesamtwirtschaftlichen Entwicklung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Sachverständigenrat ist nur an den durch dieses Gesetz begründeten Auftrag gebunden und in seiner Tätigkeit unabhängig.</w:t>
      </w:r>
    </w:p>
    <w:p>
      <w:r>
        <w:t xml:space="preserve">(2) Vertritt eine Minderheit bei der Abfassung der Gutachten zu einzelnen Fragen eine abweichende Auffassung, so hat sie die Möglichkeit, diese in den Gutachten zum Ausdruck zu bringen.</w:t>
      </w:r>
    </w:p>
    <w:p>
      <w:r>
        <w:rPr>
          <w:color w:val="555555"/>
          <w:sz w:val="17"/>
        </w:rPr>
        <w:t xml:space="preserve">Zitiervorschlag: § 3 SachvRatG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https://recht.nulegal.eu/gesetze/SachvRatG/3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