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SachvRatG</w:t>
      </w:r>
    </w:p>
    <w:p>
      <w:r>
        <w:rPr>
          <w:color w:val="555555"/>
          <w:sz w:val="18"/>
        </w:rPr>
        <w:t xml:space="preserve">Gesetz über die Bildung eines Sachverständigenrates zur Begutachtung der gesamtwirtschaftlichen Entwicklung</w:t>
      </w:r>
    </w:p>
    <w:p>
      <w:r>
        <w:rPr>
          <w:color w:val="555555"/>
          <w:sz w:val="18"/>
        </w:rPr>
        <w:t xml:space="preserve">Stand: 01.07.2020 (konsolidierte Textfassung, kein amtliches Inkrafttretensdatum)</w:t>
      </w:r>
    </w:p>
    <w:p>
      <w:r>
        <w:t xml:space="preserve">(1) Die Mitglieder des Sachverständigenrates erhalten eine pauschale Entschädigung sowie Ersatz ihrer Reisekosten. Diese werden vom Bundesministerium für Wirtschaft und Energie im Einvernehmen mit dem Bundesministerium des Innern, für Bau und Heimat festgesetzt.</w:t>
      </w:r>
    </w:p>
    <w:p>
      <w:r>
        <w:t xml:space="preserve">(2) Die Kosten des Sachverständigenrates trägt der Bund.</w:t>
      </w:r>
    </w:p>
    <w:p>
      <w:r>
        <w:rPr>
          <w:color w:val="555555"/>
          <w:sz w:val="17"/>
        </w:rPr>
        <w:t xml:space="preserve">Zitiervorschlag: § 11 SachvRatG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https://recht.nulegal.eu/gesetze/SachvRatG/11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