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SachsenLBUmwG (Sachsen) — Fortgeltung von Dienstvereinbarungen</w:t>
      </w:r>
    </w:p>
    <w:p>
      <w:r>
        <w:rPr>
          <w:color w:val="555555"/>
          <w:sz w:val="18"/>
        </w:rPr>
        <w:t xml:space="preserve">Landesbank Sachsen Umwandlungsgesetz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in der Sachsen LB im Zeitpunkt des Wirksamwerdens des Formwechsels bestehenden Dienstvereinbarungen gelten in der Aktiengesellschaft bis zum Inkrafttreten neuer Regelungen als Betriebsvereinbarungen weiter.</w:t>
      </w:r>
    </w:p>
    <w:p>
      <w:r>
        <w:rPr>
          <w:color w:val="555555"/>
          <w:sz w:val="17"/>
        </w:rPr>
        <w:t xml:space="preserve">Zitiervorschlag: § 6 SachsenLBUmwG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https://recht.nulegal.eu/gesetze/SachsenLBUmwG/6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