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SachsenLBUmwG (Sachsen) — Haftung</w:t>
      </w:r>
    </w:p>
    <w:p>
      <w:r>
        <w:rPr>
          <w:color w:val="555555"/>
          <w:sz w:val="18"/>
        </w:rPr>
        <w:t xml:space="preserve">Landesbank Sachsen Umwandlungsgesetz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Haftung für bestehende Verbindlichkeiten der Sachsen LB nach Maßgabe des § 67 des Gesetzes über die öffentlich-rechtlichen Kreditinstitute im Freistaat Sachsen und die Sachsen-Finanzgruppe vom 13. Dezember 2002 (SächsGVBl. S. 333), das durch Artikel 2 des Gesetzes vom 13. Dezember 2002 (SächsGVBl. S. 333, 347) geändert worden ist, bleibt unberührt.</w:t>
      </w:r>
    </w:p>
    <w:p>
      <w:r>
        <w:rPr>
          <w:color w:val="555555"/>
          <w:sz w:val="17"/>
        </w:rPr>
        <w:t xml:space="preserve">Zitiervorschlag: § 4 SachsenLBUmwG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https://recht.nulegal.eu/gesetze/SachsenLBUmwG/4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