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SachsenLBUmwG (Sachsen) — Wirkung der Eintragung</w:t>
      </w:r>
    </w:p>
    <w:p>
      <w:r>
        <w:rPr>
          <w:color w:val="555555"/>
          <w:sz w:val="18"/>
        </w:rPr>
        <w:t xml:space="preserve">Landesbank Sachsen Umwandlungsgesetz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Eintragung der Aktiengesellschaft in das Handelsregister hat folgende Wirkungen:</w:t>
      </w:r>
    </w:p>
    <w:p>
      <w:r>
        <w:t xml:space="preserve">1. Die Sachsen LB besteht als Aktiengesellschaft weiter.</w:t>
      </w:r>
    </w:p>
    <w:p>
      <w:r>
        <w:t xml:space="preserve">2. Die Anteilseigner der Sachsen LB im Zeitpunkt des Wirksamwerdens der Umwandlung sind an der Aktiengesellschaft nach Maßgabe des Aktiengesetzes und der Satzung als Aktionäre beteiligt.</w:t>
      </w:r>
    </w:p>
    <w:p>
      <w:r>
        <w:rPr>
          <w:color w:val="555555"/>
          <w:sz w:val="17"/>
        </w:rPr>
        <w:t xml:space="preserve">Zitiervorschlag: § 3 SachsenLBUmwG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https://recht.nulegal.eu/gesetze/SachsenLBUmwG/3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