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SachsenLBUmwG (Sachsen) — Formwechselnde Umwandlung in eine Aktiengesellschaft</w:t>
      </w:r>
    </w:p>
    <w:p>
      <w:r>
        <w:rPr>
          <w:color w:val="555555"/>
          <w:sz w:val="18"/>
        </w:rPr>
        <w:t xml:space="preserve">Landesbank Sachsen Umwandlungsgesetz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Am Tag des Inkrafttretens dieser Vorschrift erfolgt die formwechselnde Umwandlung der Landesbank Sachsen Girozentrale (Sachsen LB) in eine Aktiengesellschaft.</w:t>
      </w:r>
    </w:p>
    <w:p>
      <w:r>
        <w:t xml:space="preserve">(2) Die Anteilseigner der Sachsen LB im Zeitpunkt des Inkrafttretens dieser Vorschrift gelten als Gründer der Aktiengesellschaft; diese stellen deren Satzung fest. Die Anteilseigner der Sachsen LB im Zeitpunkt des Wirksamwerdens der Umwandlung übernehmen das Grundkapital der Aktiengesellschaft.</w:t>
      </w:r>
    </w:p>
    <w:p>
      <w:r>
        <w:t xml:space="preserve">(3) Die Aktiengesellschaft führt die Firma „Landesbank Sachsen Aktiengesellschaft“ und hat ihren Sitz in Leipzig. Firma und Sitz können durch die Satzung geändert werden.</w:t>
      </w:r>
    </w:p>
    <w:p>
      <w:r>
        <w:t xml:space="preserve">(4) Die Vorschriften des Ersten Teils des Fünften Buches des Umwandlungsgesetzes vom 28. Oktober 1994 (BGBl. I S. 3210, 1995 S. 428), das zuletzt durch Artikel 1 des Gesetzes vom 19. April 2007 (BGBl. I S. 542) geändert worden ist, sind nicht anzuwenden.</w:t>
      </w:r>
    </w:p>
    <w:p>
      <w:r>
        <w:rPr>
          <w:color w:val="555555"/>
          <w:sz w:val="17"/>
        </w:rPr>
        <w:t xml:space="preserve">Zitiervorschlag: § 1 SachsenLBUmwG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https://recht.nulegal.eu/gesetze/SachsenLBUmwG/1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