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SachenRBerG — Vermittlungsvorschlag des Notars</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Nach Durchführung der Erhebungen macht der Notar einen Vorschlag in Form eines Vertragsentwurfs, der den gesetzlichen Bestimmungen zu entsprechen und alle für einen Vertragsschluß erforderlichen Punkte und, wenn dies von einem Beteiligten beantragt worden ist, auch die für dessen Erfüllung notwendigen Erklärungen zu umfassen hat.</w:t>
      </w:r>
    </w:p>
    <w:p>
      <w:r>
        <w:t xml:space="preserve">(2) Sobald sich eine Einigung im Sinne des Absatzes 1 zwischen den Beteiligten ergibt, hat der Notar den Inhalt dieser Vereinbarung zu beurkunden. Der Notar hat mit dem Antrag auf Eintragung des Erbbaurechts oder des Nutzers als Erwerber, spätestens jedoch sechs Monate nach der Beurkundung, die Löschung des Vermerks nach § 92 Abs. 5 zu beantragen. Der Ablauf der in Satz 2 bestimmten Frist ist gehemmt, solange ein für den Vollzug der Vereinbarung erforderliches behördliches oder gerichtliches Verfahren beantragt worden, aber noch keine Entscheidung ergangen ist.</w:t>
      </w:r>
    </w:p>
    <w:p>
      <w:r>
        <w:rPr>
          <w:color w:val="555555"/>
          <w:sz w:val="17"/>
        </w:rPr>
        <w:t xml:space="preserve">Zitiervorschlag: § 98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