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94 SachenRBerG — Aussetzung des Verfahrens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Notar hat die Vermittlung auszusetzen, wenn</w:t>
      </w:r>
    </w:p>
    <w:p>
      <w:pPr>
        <w:ind w:left="420"/>
      </w:pPr>
      <w:r>
        <w:t xml:space="preserve">1. eine Anmeldung auf Rückübertragung des Grundstücks oder des Gebäudes oder der baulichen Anlage nach § 3 Abs. 1 des Vermögensgesetzes vorliegt oder</w:t>
      </w:r>
    </w:p>
    <w:p>
      <w:pPr>
        <w:ind w:left="420"/>
      </w:pPr>
      <w:r>
        <w:t xml:space="preserve">2. ein Antrag auf Aufhebung des Nutzungsrechts nach § 16 Abs. 3 des Vermögensgesetzes gestellt worden ist</w:t>
      </w:r>
    </w:p>
    <w:p>
      <w:r>
        <w:t xml:space="preserve">und noch keine bestandskräftige Entscheidung des Amtes zur Regelung offener Vermögensfragen vorliegt.</w:t>
      </w:r>
    </w:p>
    <w:p>
      <w:r>
        <w:t xml:space="preserve">(2) Der Notar soll die Vermittlung aussetzen, wenn</w:t>
      </w:r>
    </w:p>
    <w:p>
      <w:pPr>
        <w:ind w:left="420"/>
      </w:pPr>
      <w:r>
        <w:t xml:space="preserve">1. ein Antrag auf Feststellung der Eigentums- oder Nutzungsrechtsgrenzen in einem Bodensonderungsverfahren gestellt und das Verfahren noch nicht abgeschlossen worden ist,</w:t>
      </w:r>
    </w:p>
    <w:p>
      <w:pPr>
        <w:ind w:left="420"/>
      </w:pPr>
      <w:r>
        <w:t xml:space="preserve">2. der Grundstückseigentümer oder der Nutzer die Anspruchsberechtigung bestreitet oder</w:t>
      </w:r>
    </w:p>
    <w:p>
      <w:pPr>
        <w:ind w:left="420"/>
      </w:pPr>
      <w:r>
        <w:t xml:space="preserve">3. ein Inhaber eines dinglichen Rechts am Grundstück dem Anspruch auf Rangrücktritt für ein an erster Rangstelle einzutragendes Erbbaurecht oder einer lastenfreien Um- oder Abschreibung des Grundstücks auf den Nutzer widerspricht.</w:t>
      </w:r>
    </w:p>
    <w:p>
      <w:r>
        <w:t xml:space="preserve">In den Fällen des Satzes 1 Nr. 2 und 3 sind die Beteiligten auf den Klageweg zu verweisen, wenn in der Erörterung mit den Beteiligten keine Einigung erzielt werden kann.</w:t>
      </w:r>
    </w:p>
    <w:p>
      <w:r>
        <w:t xml:space="preserve">(3) Der Notar kann die in § 100 Abs. 1 Satz 2 Nr. 2 bestimmte Gebühr bei einer Aussetzung in Ansatz bringen. Die Gebühr ist nach Aufnahme des ausgesetzten Vermittlungsverfahrens auf die danach entstehenden Gebühren anzurechnen.</w:t>
      </w:r>
    </w:p>
    <w:p>
      <w:r>
        <w:rPr>
          <w:color w:val="555555"/>
          <w:sz w:val="17"/>
        </w:rPr>
        <w:t xml:space="preserve">Zitiervorschlag: § 94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https://recht.nulegal.eu/gesetze/SachenRBerG/94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94 SachenRBerG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