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93 SachenRBerG — Erörterung</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Notar erörtert mit den Beteiligten den Sachverhalt in tatsächlicher und rechtlicher Hinsicht. Er hat vor einer Verhandlung über den Inhalt des abzuschließenden Vertrages mit den Beteiligten zu erörtern, ob Gründe für eine Aussetzung oder Einstellung des Vermittlungsverfahrens vorliegen oder geltend gemacht werden und auf welchen rechtlichen oder tatsächlichen Gründen die bauliche Nutzung beruht.</w:t>
      </w:r>
    </w:p>
    <w:p>
      <w:r>
        <w:t xml:space="preserve">(2) Liegt ein Grund für eine Aussetzung oder Einstellung des Verfahrens nicht vor, fertigt der Notar ein Protokoll an, in dem er alle für die Bestellung des Erbbaurechts oder den Ankauf eines Grundstücks oder Gebäudes unstreitigen und streitigen Punkte feststellt (Eingangsprotokoll).</w:t>
      </w:r>
    </w:p>
    <w:p>
      <w:r>
        <w:t xml:space="preserve">(3) Der Notar soll dem Grundstückseigentümer und dem Nutzer Vorschläge unterbreiten. Er ist dabei an die von diesen Beteiligten geäußerten Vorstellungen über den Inhalt des abzuschließenden Vertrages nicht gebunden. Ermittlungen nach § 97 darf der Notar jedoch nur innerhalb der gestellten Anträge erheben.</w:t>
      </w:r>
    </w:p>
    <w:p>
      <w:r>
        <w:t xml:space="preserve">(4) Mit den Inhabern dinglicher Rechte ist zu erörtern</w:t>
      </w:r>
    </w:p>
    <w:p>
      <w:pPr>
        <w:ind w:left="420"/>
      </w:pPr>
      <w:r>
        <w:t xml:space="preserve">1. im Falle der Bestellung von Erbbaurechten,</w:t>
      </w:r>
    </w:p>
    <w:p>
      <w:pPr>
        <w:ind w:left="780"/>
      </w:pPr>
      <w:r>
        <w:t xml:space="preserve">a) welche Hindernisse einem Rangrücktritt entgegenstehen,</w:t>
      </w:r>
    </w:p>
    <w:p>
      <w:pPr>
        <w:ind w:left="780"/>
      </w:pPr>
      <w:r>
        <w:t xml:space="preserve">b) ob und welche anderweitige Sicherheit für eine vom Nutzer nach § 36 Abs. 1 Satz 1 zu übernehmende Sicherheit in Betracht kommt,</w:t>
      </w:r>
    </w:p>
    <w:p>
      <w:pPr>
        <w:ind w:left="420"/>
      </w:pPr>
      <w:r>
        <w:t xml:space="preserve">2. im Falle des Ankaufs des Grundstücks,</w:t>
      </w:r>
    </w:p>
    <w:p>
      <w:pPr>
        <w:ind w:left="780"/>
      </w:pPr>
      <w:r>
        <w:t xml:space="preserve">a) welche Hindernisse einer lastenfreien Abschreibung entgegenstehen,</w:t>
      </w:r>
    </w:p>
    <w:p>
      <w:pPr>
        <w:ind w:left="780"/>
      </w:pPr>
      <w:r>
        <w:t xml:space="preserve">b) ob und welche andere Sicherheit für eine vom Nutzer nach § 63 übernommene Sicherheit gestellt werden kann.</w:t>
      </w:r>
    </w:p>
    <w:p>
      <w:r>
        <w:rPr>
          <w:color w:val="555555"/>
          <w:sz w:val="17"/>
        </w:rPr>
        <w:t xml:space="preserve">Zitiervorschlag: § 93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93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