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89 SachenRBerG — Verfahrensart</w:t>
      </w:r>
    </w:p>
    <w:p>
      <w:r>
        <w:rPr>
          <w:color w:val="555555"/>
          <w:sz w:val="18"/>
        </w:rPr>
        <w:t xml:space="preserve">Sachenrechtsbereinigungsgesetz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Soweit dieses Gesetz nichts anderes bestimmt, sind auf das notarielle Vermittlungsverfahren die Vorschriften des Buchs 4 des Gesetzes über das Verfahren in Familiensachen und in den Angelegenheiten der freiwilligen Gerichtsbarkeit entsprechend anzuwenden.</w:t>
      </w:r>
    </w:p>
    <w:p>
      <w:r>
        <w:t xml:space="preserve">(2) Über Beschwerden gegen die Amtstätigkeit des Notars entscheidet das Landgericht, in dessen Bezirk das Grundstück oder das Gebäude ganz oder zum größten Teil belegen ist.</w:t>
      </w:r>
    </w:p>
    <w:p>
      <w:r>
        <w:rPr>
          <w:color w:val="555555"/>
          <w:sz w:val="17"/>
        </w:rPr>
        <w:t xml:space="preserve">Zitiervorschlag: § 89 SachenRBerG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https://recht.nulegal.eu/gesetze/SachenRBerG/89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