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85 SachenRBerG — Unvermessene Flächen</w:t>
      </w:r>
    </w:p>
    <w:p>
      <w:r>
        <w:rPr>
          <w:color w:val="555555"/>
          <w:sz w:val="18"/>
        </w:rPr>
        <w:t xml:space="preserve">Sachenrechtsbereinigungsgesetz</w:t>
      </w:r>
    </w:p>
    <w:p>
      <w:r>
        <w:rPr>
          <w:color w:val="555555"/>
          <w:sz w:val="18"/>
        </w:rPr>
        <w:t xml:space="preserve">Stand: 10.06.2019 (konsolidierte Textfassung, kein amtliches Inkrafttretensdatum)</w:t>
      </w:r>
    </w:p>
    <w:p>
      <w:r>
        <w:t xml:space="preserve">(1) Sind die Grenzen der Flächen, auf die sich das Nutzungsrecht erstreckt, nicht im Liegenschaftskataster nachgewiesen (unvermessene Flächen) oder wurde eine Bebauung nach den §§ 4 bis 7 und 12 ohne Bestellung eines Nutzungsrechts vorgenommen, erfolgt die Bestimmung des Teils des Grundstücks, auf den sich die Nutzungsbefugnis des Erbbauberechtigten erstreckt oder der vom Stammgrundstück abgeschrieben werden soll, nach den Vorschriften des Bodensonderungsgesetzes.</w:t>
      </w:r>
    </w:p>
    <w:p>
      <w:r>
        <w:t xml:space="preserve">(2) Einigungen der Beteiligten über den Verlauf der Nutzungsrechtsgrenzen und des Grundstücks sind zulässig.</w:t>
      </w:r>
    </w:p>
    <w:p>
      <w:r>
        <w:rPr>
          <w:color w:val="555555"/>
          <w:sz w:val="17"/>
        </w:rPr>
        <w:t xml:space="preserve">Zitiervorschlag: § 85 SachenRBerG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https://recht.nulegal.eu/gesetze/SachenRBerG/85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