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SachenRBerG — Rechte des Nutzers bei Zahlungsverzug</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Nutzer darf wegen seiner Ansprüche aus dem Kaufvertrag die Zwangsversteigerung in das Grundstück nur unter gleichzeitiger Versteigerung seines Gebäudes oder seiner baulichen Anlage, sofern daran selbständiges Eigentum besteht, sowie mit der Bedingung des Erlöschens seines Rechts zum Besitz aus Artikel 233 § 2a des Einführungsgesetzes zum Bürgerlichen Gesetzbuche betreiben. § 79 Abs. 2 und 3 ist entsprechend anzuwenden.</w:t>
      </w:r>
    </w:p>
    <w:p>
      <w:r>
        <w:t xml:space="preserve">(2) Nach fruchtlosem Ablauf einer zur Leistung gesetzten Nachfrist kann der Nutzer vom Grundstückseigentümer</w:t>
      </w:r>
    </w:p>
    <w:p>
      <w:pPr>
        <w:ind w:left="420"/>
      </w:pPr>
      <w:r>
        <w:t xml:space="preserve">1. den Abschluß eines Erbbaurechtsvertrages nach Abschnitt 2 oder, wenn ein Nutzungsrecht nicht bestellt wurde und die Restnutzungsdauer des Gebäudes weniger als 25 Jahre beträgt, den Abschluß eines Mietvertrages nach § 31 oder</w:t>
      </w:r>
    </w:p>
    <w:p>
      <w:pPr>
        <w:ind w:left="420"/>
      </w:pPr>
      <w:r>
        <w:t xml:space="preserve">2. den Abschluß eines Grundstückskaufvertrages nach Abschnitt 3</w:t>
      </w:r>
    </w:p>
    <w:p>
      <w:r>
        <w:t xml:space="preserve">verlangen. Dem Nutzer stehen weiter die in § 80 Satz 2 bezeichneten Ansprüche zu.</w:t>
      </w:r>
    </w:p>
    <w:p>
      <w:r>
        <w:rPr>
          <w:color w:val="555555"/>
          <w:sz w:val="17"/>
        </w:rPr>
        <w:t xml:space="preserve">Zitiervorschlag: § 84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