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 SachenRBerG — Übernahmeverlangen des Grundstückseigentümers</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Ist das vom Nutzer errichtete oder erworbene Gebäude oder die bauliche Anlage nicht mehr nutzbar und beruht die Erforderlichkeit alsbaldigen Abbruchs auf unterlassener Instandhaltung durch den Nutzer, kann der Grundstückseigentümer vom Nutzer</w:t>
      </w:r>
    </w:p>
    <w:p>
      <w:pPr>
        <w:ind w:left="420"/>
      </w:pPr>
      <w:r>
        <w:t xml:space="preserve">1. Ersatz seiner Aufwendungen für die Beseitigung der vorhandenen Bausubstanz oder</w:t>
      </w:r>
    </w:p>
    <w:p>
      <w:pPr>
        <w:ind w:left="420"/>
      </w:pPr>
      <w:r>
        <w:t xml:space="preserve">2. den Erwerb der Fläche, auf der das Gebäude oder die bauliche Anlage errichtet wurde,</w:t>
      </w:r>
    </w:p>
    <w:p>
      <w:r>
        <w:t xml:space="preserve">verlangen.</w:t>
      </w:r>
    </w:p>
    <w:p>
      <w:r>
        <w:t xml:space="preserve">(2) Ist die Nutzung des vom Nutzer errichteten oder erworbenen Gebäudes oder der baulichen Anlage aus anderen als den in Absatz 1 genannten Gründen, insbesondere infolge der durch den Beitritt nach dem Einigungsvertrag eingetretenen Veränderungen, aufgegeben worden und der alsbaldige Abbruch des Gebäudes oder der baulichen Anlage zur ordnungsgemäßen Bewirtschaftung des Grundstücks erforderlich, kann der Grundstückseigentümer vom Nutzer</w:t>
      </w:r>
    </w:p>
    <w:p>
      <w:pPr>
        <w:ind w:left="420"/>
      </w:pPr>
      <w:r>
        <w:t xml:space="preserve">1. den hälftigen Ausgleich des Betrages verlangen, um den die Kosten des Abbruchs der vorhandenen Bausubstanz den Bodenwert des unbebauten Grundstücks im Zeitpunkt des Inkrafttretens dieses Gesetzes übersteigen, oder</w:t>
      </w:r>
    </w:p>
    <w:p>
      <w:pPr>
        <w:ind w:left="420"/>
      </w:pPr>
      <w:r>
        <w:t xml:space="preserve">2. den Erwerb der Fläche gegen Zahlung des nach Absatz 5 zu berechnenden Entschädigungswerts verlangen, auf der das Gebäude oder die bauliche Anlage errichtet wurde.</w:t>
      </w:r>
    </w:p>
    <w:p>
      <w:r>
        <w:t xml:space="preserve">(3) Der Grundstückseigentümer kann die in den Absätzen 1 und 2 bestimmten Ansprüche erst geltend machen, nachdem er dem Nutzer Gelegenheit gegeben hat, das Gebäude oder die bauliche Anlage zu beseitigen. Der Grundstückseigentümer hat dem Nutzer hierzu eine angemessene Frist zu setzen. Die Ansprüche verjähren in fünf Jahren von dem Inkrafttreten dieses Gesetzes an; die Verjährung der Ansprüche wird durch die Einleitung des erforderlichen notariellen Vermittlungsverfahrens wie durch Klageerhebung gehemmt.</w:t>
      </w:r>
    </w:p>
    <w:p>
      <w:r>
        <w:t xml:space="preserve">(4) Der Nutzer kann den Anspruch des Grundstückseigentümers aus Absatz 2 Nr. 1 durch Erwerb der Fläche, auf der das abzureißende Gebäude steht, gegen Zahlung des nach Absatz 5 zu berechnenden Entschädigungswerts abwenden.</w:t>
      </w:r>
    </w:p>
    <w:p>
      <w:r>
        <w:t xml:space="preserve">(5) Der Entschädigungswert bestimmt sich nach der Höhe der Entschädigung für Grundvermögen in dem nach § 9 Abs. 3 des Vermögensgesetzes zu erlassenden Gesetz.</w:t>
      </w:r>
    </w:p>
    <w:p>
      <w:r>
        <w:t xml:space="preserve">(6) Abweichende vertragliche Vereinbarungen bleiben unberührt.</w:t>
      </w:r>
    </w:p>
    <w:p>
      <w:r>
        <w:rPr>
          <w:color w:val="555555"/>
          <w:sz w:val="17"/>
        </w:rPr>
        <w:t xml:space="preserve">Zitiervorschlag: § 82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