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SachenRBerG — Zeitliche Begrenzung</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Die Bestimmungen dieses Kapitels sind nur anzuwenden, wenn der Bau oder Erwerb des Gebäudes oder der baulichen Anlage nach dem 8. Mai 1945 erfolgt ist und</w:t>
      </w:r>
    </w:p>
    <w:p>
      <w:pPr>
        <w:ind w:left="420"/>
      </w:pPr>
      <w:r>
        <w:t xml:space="preserve">1. selbständiges Eigentum an einem Gebäude oder an einer baulichen Anlage entstanden ist,</w:t>
      </w:r>
    </w:p>
    <w:p>
      <w:pPr>
        <w:ind w:left="420"/>
      </w:pPr>
      <w:r>
        <w:t xml:space="preserve">2. ein Nutzungsrecht bis zum Ablauf des 30. Juni 1990 zugewiesen oder bis zum Ablauf des 2. Oktober 1990 verliehen worden ist oder</w:t>
      </w:r>
    </w:p>
    <w:p>
      <w:pPr>
        <w:ind w:left="420"/>
      </w:pPr>
      <w:r>
        <w:t xml:space="preserve">3. auf den Flächen, die dem aufgehobenen Bodennutzungsrecht der landwirtschaftlichen Produktionsgenossenschaften unterlagen, bis zum Ablauf des 30. Juni 1990, auf allen anderen Flächen bis zum Ablauf des 2. Oktober 1990, mit dem Bau eines Gebäudes oder einer baulichen Anlage begonnen worden ist.</w:t>
      </w:r>
    </w:p>
    <w:p>
      <w:r>
        <w:rPr>
          <w:color w:val="555555"/>
          <w:sz w:val="17"/>
        </w:rPr>
        <w:t xml:space="preserve">Zitiervorschlag: § 8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