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79 SachenRBerG — Durchsetzung des Erfüllungsanspruchs</w:t>
      </w:r>
    </w:p>
    <w:p>
      <w:r>
        <w:rPr>
          <w:color w:val="555555"/>
          <w:sz w:val="18"/>
        </w:rPr>
        <w:t xml:space="preserve">Sachenrechtsbereinigungsgesetz</w:t>
      </w:r>
    </w:p>
    <w:p>
      <w:r>
        <w:rPr>
          <w:color w:val="555555"/>
          <w:sz w:val="18"/>
        </w:rPr>
        <w:t xml:space="preserve">Stand: 10.06.2019 (konsolidierte Textfassung, kein amtliches Inkrafttretensdatum)</w:t>
      </w:r>
    </w:p>
    <w:p>
      <w:r>
        <w:t xml:space="preserve">(1) Der Grundstückseigentümer kann wegen seiner Ansprüche aus dem Kaufvertrag die Zwangsversteigerung des Gebäudes oder der baulichen Anlage des Nutzers nur unter gleichzeitiger Versteigerung des nach dem Vertrag zu veräußernden Grundstücks betreiben. Der Grundstückseigentümer darf einen Antrag auf Versteigerung des Gebäudes und des Grundstücks erst stellen, wenn er dem Nutzer die Versteigerung des verkauften Grundstücks zuvor angedroht, dem Nutzer eine Nachfrist zur Zahlung von mindestens zwei Wochen gesetzt hat und diese Frist fruchtlos verstrichen ist.</w:t>
      </w:r>
    </w:p>
    <w:p>
      <w:r>
        <w:t xml:space="preserve">(2) Für die Vollstreckung in das Grundstück ist ein vollstreckbarer Titel gegen den Nutzer ausreichend. Die Zwangsversteigerung darf nur angeordnet werden, wenn</w:t>
      </w:r>
    </w:p>
    <w:p>
      <w:pPr>
        <w:ind w:left="420"/>
      </w:pPr>
      <w:r>
        <w:t xml:space="preserve">1. der Antragsteller als Eigentümer des Grundstücks im Grundbuch eingetragen oder als Rechtsvorgänger des Nutzers eingetragen gewesen ist oder Erbe des eingetragenen Grundstückseigentümers ist und</w:t>
      </w:r>
    </w:p>
    <w:p>
      <w:pPr>
        <w:ind w:left="420"/>
      </w:pPr>
      <w:r>
        <w:t xml:space="preserve">2. das Grundstück frei von Rechten ist, die Ansprüche auf Zahlung oder Befriedigung aus dem Grundstück gewähren.</w:t>
      </w:r>
    </w:p>
    <w:p>
      <w:r>
        <w:t xml:space="preserve">(3) Der Zuschlag für das Gebäude und das Grundstück muß an dieselbe Person erteilt werden. Mit dem Zuschlag erlöschen die Rechte des Nutzers zum Besitz aus dem Moratorium nach Artikel 233 § 2a des Einführungsgesetzes zum Bürgerlichen Gesetzbuche, aus diesem Gesetz und aus dem Grundstückskaufvertrag.</w:t>
      </w:r>
    </w:p>
    <w:p>
      <w:r>
        <w:t xml:space="preserve">(4) An die Stelle des Anspruchs des Nutzers auf Übereignung tritt der Anspruch auf Auskehr des nach Berichtigung der Kosten und Befriedigung des Grundstückseigentümers verbleibenden Resterlöses.</w:t>
      </w:r>
    </w:p>
    <w:p>
      <w:r>
        <w:rPr>
          <w:color w:val="555555"/>
          <w:sz w:val="17"/>
        </w:rPr>
        <w:t xml:space="preserve">Zitiervorschlag: § 79 SachenRBerG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https://recht.nulegal.eu/gesetze/SachenRBerG/79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