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SachenRBerG — Rechtsfolgen des Erwerbs des Grundstückseigentums durch den Nutzer</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Vereinigen sich Grundstücks- und Gebäudeeigentum in einer Person, so ist eine Veräußerung oder Belastung allein des Gebäudes oder des Grundstücks ohne das Gebäude nicht mehr zulässig. Die Befugnis zur Veräußerung im Wege der Zwangsversteigerung oder zu deren Abwendung bleibt unberührt. Der Eigentümer ist verpflichtet, das Eigentum am Gebäude nach § 875 des Bürgerlichen Gesetzbuchs aufzugeben, sobald dieses unbelastet ist oder sich die dinglichen Rechte am Gebäude mit dem Eigentum am Gebäude in seiner Person vereinigt haben. Der Eigentümer des Gebäudes und der Inhaber einer Grundschuld sind verpflichtet, das Recht aufzugeben, wenn die Forderung, zu deren Sicherung die Grundschuld bestellt worden ist, nicht entstanden oder erloschen ist. Das Grundbuchamt hat den Eigentümer zur Erfüllung der in den Sätzen 3 und 4 bestimmten Pflichten anzuhalten. Die Vorschriften über den Grundbuchberichtigungszwang im Fünften Abschnitt der Grundbuchordnung finden entsprechende Anwendung.</w:t>
      </w:r>
    </w:p>
    <w:p>
      <w:r>
        <w:t xml:space="preserve">(2) Der Eigentümer kann von den Inhabern dinglicher Rechte am Gebäude verlangen, die nach § 876 des Bürgerlichen Gesetzbuchs erforderliche Zustimmung zur Aufhebung zu erteilen, wenn sie Rechte am Grundstück an der gleichen Rangstelle und im gleichen Wert erhalten und das Gebäude Bestandteil des Grundstücks wird.</w:t>
      </w:r>
    </w:p>
    <w:p>
      <w:r>
        <w:t xml:space="preserve">(3) Im Falle einer Veräußerung nach Absatz 1 Satz 2 kann der Erwerber vom Eigentümer auch den Ankauf des Grundstücks oder des Gebäudes oder der baulichen Anlage nach diesem Abschnitt verlangen. Der Preis ist nach dem vollen Verkehrswert (§ 70) zu bestimmen. Im Falle der Veräußerung des Grundstücks ist § 71 anzuwenden. Eine Preisermäßigung nach § 73 kann der Erwerber vom Eigentümer nur verlangen, wenn</w:t>
      </w:r>
    </w:p>
    <w:p>
      <w:pPr>
        <w:ind w:left="420"/>
      </w:pPr>
      <w:r>
        <w:t xml:space="preserve">1. die in § 73 Abs. 1 bezeichneten Voraussetzungen vorliegen und</w:t>
      </w:r>
    </w:p>
    <w:p>
      <w:pPr>
        <w:ind w:left="420"/>
      </w:pPr>
      <w:r>
        <w:t xml:space="preserve">2. er sich gegenüber dem Eigentümer wie in § 73 Abs. 1 Satz 2 verpflichtet.</w:t>
      </w:r>
    </w:p>
    <w:p>
      <w:r>
        <w:t xml:space="preserve">Der frühere Grundstückseigentümer erwirbt mit dem Entstehen einer Nachzahlungsverpflichtung des Eigentümers aus § 73 Abs. 1 ein vorrangiges Pfandrecht an den Ansprüchen des Eigentümers gegen den Erwerber aus einer Nutzungsänderung.</w:t>
      </w:r>
    </w:p>
    <w:p>
      <w:r>
        <w:rPr>
          <w:color w:val="555555"/>
          <w:sz w:val="17"/>
        </w:rPr>
        <w:t xml:space="preserve">Zitiervorschlag: § 78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