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SachenRBerG — Gefahr, Lasten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Nutzer trägt die Gefahr für ein von ihm errichtetes Gebäude. Er hat vom Kaufvertragsschluß an die auf dem Grundstück ruhenden Lasten zu tragen.</w:t>
      </w:r>
    </w:p>
    <w:p>
      <w:r>
        <w:t xml:space="preserve">(2) Gesetzliche oder vertragliche Regelungen, nach denen der Nutzer die Lasten schon vorher zu tragen hatte, bleiben bis zum Vertragsschluß unberührt. Ansprüche des Nutzers auf Aufwendungsersatz bestehen nicht.</w:t>
      </w:r>
    </w:p>
    <w:p>
      <w:r>
        <w:rPr>
          <w:color w:val="555555"/>
          <w:sz w:val="17"/>
        </w:rPr>
        <w:t xml:space="preserve">Zitiervorschlag: § 75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