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SachenRBerG — Preisbemessung bei Überlassungsverträgen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Grundstückseigentümer kann eine Anhebung des Kaufpreises durch Anrechnung des Restwerts des überlassenen Gebäudes und der Grundstückseinrichtungen verlangen. Die Erhöhung des Preises ist pauschal nach dem Sachwert des Gebäudes und der Grundstückseinrichtungen zum Zeitpunkt der Überlassung abzüglich der Wertminderungen, die bis zum Zeitpunkt der Abgabe eines Angebots zum Vertragsschluß eingetreten wären, zu bestimmen. Die Wertminderung ist nach der Nutzungsdauer von Gebäuden und Einrichtungen der entsprechenden Art und den üblichen Wertminderungen wegen Alters und Abnutzung zu berechnen. Eine andere Berechnung kann verlangt werden, wenn dies wegen besonderer Umstände, insbesondere erheblicher Bauschäden zum Zeitpunkt der Überlassung, geboten ist.</w:t>
      </w:r>
    </w:p>
    <w:p>
      <w:r>
        <w:t xml:space="preserve">(2) Zahlungen des Überlassungsnehmers, die zur Ablösung von Verbindlichkeiten des Grundstückseigentümers und von Grundpfandrechten verwandt wurden, sind auf Verlangen des Nutzers auf den Kaufpreis anzurechnen. § 38 Abs. 2 und 3 gilt entsprechend.</w:t>
      </w:r>
    </w:p>
    <w:p>
      <w:r>
        <w:t xml:space="preserve">(3) Die vom Überlassungsnehmer gezahlten und hinterlegten Geldbeträge sind auf den Kaufpreis anzurechnen, wenn sie bereits an den Grundstückseigentümer ausgezahlt wurden oder zur Zahlung an ihn verfügbar sind. Eine Verfügbarkeit der Beträge liegt vor, wenn diese binnen eines Monats nach Vertragsschluß an den verkaufenden Grundstückseigentümer gezahlt werden oder auf einem Treuhandkonto des beurkundenden Notars zur Verfügung bereitstehen.</w:t>
      </w:r>
    </w:p>
    <w:p>
      <w:r>
        <w:t xml:space="preserve">(4) Ist eine Anrechnung nach Absatz 3 nicht möglich, so ist der Grundstückseigentümer verpflichtet, insoweit seine Ersatzansprüche gegen den staatlichen Verwalter auf den Nutzer zu übertragen und dies dem Verwalter anzuzeigen.</w:t>
      </w:r>
    </w:p>
    <w:p>
      <w:r>
        <w:rPr>
          <w:color w:val="555555"/>
          <w:sz w:val="17"/>
        </w:rPr>
        <w:t xml:space="preserve">Zitiervorschlag: § 74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