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SachenRBerG — Preisanhebung bei kurzer Restnutzungsdauer des Gebäudes</w:t>
      </w:r>
    </w:p>
    <w:p>
      <w:r>
        <w:rPr>
          <w:color w:val="555555"/>
          <w:sz w:val="18"/>
        </w:rPr>
        <w:t xml:space="preserve">Sachenrechtsbereinigungsgesetz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nach § 68 zu bestimmende Kaufpreis ist auf Verlangen des Grundstückseigentümers wegen kurzer Restnutzungsdauer des Gebäudes zu erhöhen, wenn</w:t>
      </w:r>
    </w:p>
    <w:p>
      <w:pPr>
        <w:ind w:left="420"/>
      </w:pPr>
      <w:r>
        <w:t xml:space="preserve">1. das Gebäude zu anderen als zu Wohnzwecken genutzt wird,</w:t>
      </w:r>
    </w:p>
    <w:p>
      <w:pPr>
        <w:ind w:left="420"/>
      </w:pPr>
      <w:r>
        <w:t xml:space="preserve">2. dem Nutzer ein Nutzungsrecht nicht verliehen oder nicht zugewiesen worden ist oder die Restlaufzeit eines Nutzungs- oder Überlassungsvertrages kürzer ist als die regelmäßige Dauer des Erbbaurechts und</w:t>
      </w:r>
    </w:p>
    <w:p>
      <w:pPr>
        <w:ind w:left="420"/>
      </w:pPr>
      <w:r>
        <w:t xml:space="preserve">3. die Restnutzungsdauer des Gebäudes zum Zeitpunkt des Ankaufverlangens kürzer ist als die regelmäßige Dauer eines Erbbaurechts.</w:t>
      </w:r>
    </w:p>
    <w:p>
      <w:r>
        <w:t xml:space="preserve">(2) Zur Bestimmung der Preisanhebung sind die Bodenwertanteile eines Erbbaurechts mit der Restnutzungsdauer des Gebäudes und eines Erbbaurechts mit der regelmäßigen Laufzeit nach § 53 zu errechnen. Der Bodenwertanteil des Nutzers ist nach dem Verhältnis der Bodenwertanteile der in Satz 1 bezeichneten Erbbaurechte zu ermitteln. Der angehobene Preis errechnet sich durch Abzug des Anteils des Nutzers vom Bodenwert.</w:t>
      </w:r>
    </w:p>
    <w:p>
      <w:r>
        <w:rPr>
          <w:color w:val="555555"/>
          <w:sz w:val="17"/>
        </w:rPr>
        <w:t xml:space="preserve">Zitiervorschlag: § 69 SachenRBerG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https://recht.nulegal.eu/gesetze/SachenRBerG/69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