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SachenRBerG — Kaufgegenstand</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Kaufgegenstand ist das mit dem Nutzungsrecht belastete oder bebaute Grundstück oder eine abzuschreibende Teilfläche.</w:t>
      </w:r>
    </w:p>
    <w:p>
      <w:r>
        <w:t xml:space="preserve">(2) Ist eine Teilung eines bebauten Grundstücks nicht möglich oder unzweckmäßig (§ 66 Abs. 2), ist als Kaufgegenstand ein Miteigentumsanteil am Grundstück in Verbindung mit dem Sondereigentum an Wohnungen oder dem Teileigentum an nicht zu Wohnzwecken dienenden Räumen eines Gebäudes zu bestimmen.</w:t>
      </w:r>
    </w:p>
    <w:p>
      <w:r>
        <w:rPr>
          <w:color w:val="555555"/>
          <w:sz w:val="17"/>
        </w:rPr>
        <w:t xml:space="preserve">Zitiervorschlag: § 65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