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SachenRBerG — Ansprüche gegen den Grundstückseigentümer</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Grundstückseigentümer ist vorbehaltlich der nachfolgenden Bestimmungen verpflichtet, dem Nutzer das Grundstück frei von Rechten Dritter zu übertragen, die gegen den Nutzer geltend gemacht werden können. Satz 1 ist nicht anzuwenden auf</w:t>
      </w:r>
    </w:p>
    <w:p>
      <w:pPr>
        <w:ind w:left="420"/>
      </w:pPr>
      <w:r>
        <w:t xml:space="preserve">1. Vorkaufsrechte, die aufgrund gesetzlicher Bestimmungen oder aufgrund Überlassungsvertrags eingetragen worden sind, und</w:t>
      </w:r>
    </w:p>
    <w:p>
      <w:pPr>
        <w:ind w:left="420"/>
      </w:pPr>
      <w:r>
        <w:t xml:space="preserve">2. die in § 62 Abs. 1 bezeichneten Rechte, wenn</w:t>
      </w:r>
    </w:p>
    <w:p>
      <w:pPr>
        <w:ind w:left="780"/>
      </w:pPr>
      <w:r>
        <w:t xml:space="preserve">a) das Grundstück bereits vor der Bestellung des Nutzungsrechts oder der Bebauung des Grundstücks belastet war,</w:t>
      </w:r>
    </w:p>
    <w:p>
      <w:pPr>
        <w:ind w:left="780"/>
      </w:pPr>
      <w:r>
        <w:t xml:space="preserve">b) die Belastung vor Ablauf des 2. Oktober 1990 auf Veranlassung staatlicher Stellen erfolgt ist,</w:t>
      </w:r>
    </w:p>
    <w:p>
      <w:pPr>
        <w:ind w:left="780"/>
      </w:pPr>
      <w:r>
        <w:t xml:space="preserve">c) der Grundstückseigentümer aufgrund gesetzlicher Bestimmungen zur Belastung seines Grundstücks mit einem solchen Recht verpflichtet gewesen ist oder</w:t>
      </w:r>
    </w:p>
    <w:p>
      <w:pPr>
        <w:ind w:left="780"/>
      </w:pPr>
      <w:r>
        <w:t xml:space="preserve">d) der Nutzer der Belastung zugestimmt hat.</w:t>
      </w:r>
    </w:p>
    <w:p>
      <w:r>
        <w:t xml:space="preserve">(2) Übernimmt der Nutzer nach § 63 Abs. 3 eine dingliche Haftung für eine vom Grundstückseigentümer eingegangene Verpflichtung, so kann er von diesem Befreiung verlangen. Ist die gesicherte Forderung noch nicht fällig, so kann der Nutzer vom Grundstückseigentümer statt der Befreiung Sicherheit fordern.</w:t>
      </w:r>
    </w:p>
    <w:p>
      <w:r>
        <w:t xml:space="preserve">(3) Der Inhaber eines in § 63 Abs. 1 bezeichneten dinglichen Rechts, der einer lastenfreien Um- oder Abschreibung zuzustimmen verpflichtet ist, erwirbt im Range und Umfang seines Rechts am Grundstück ein Pfandrecht am Anspruch auf den vom Nutzer zu zahlenden Kaufpreis. Ist das Recht nicht auf Leistung eines Kapitals gerichtet, sichert das Pfandrecht den Anspruch auf Wertersatz. Jeder Inhaber eines solchen Rechts kann vom Nutzer die Hinterlegung des Kaufpreises verlangen.</w:t>
      </w:r>
    </w:p>
    <w:p>
      <w:r>
        <w:rPr>
          <w:color w:val="555555"/>
          <w:sz w:val="17"/>
        </w:rPr>
        <w:t xml:space="preserve">Zitiervorschlag: § 64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