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SachenRBerG — Hypothek, Grundschuld, Rentenschuld, Reallast</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Nutzer kann von den Inhabern dinglicher Rechte, die einen Anspruch auf Zahlung oder Befriedigung aus dem Grundstück gewähren, verlangen, auf ihr Recht zu verzichten, wenn der Antrag auf Eintragung der Belastung nach dem 21. Juli 1992 beim Grundbuchamt einging und dem Inhaber des dinglichen Rechts bekannt war, daß der Grundstückseigentümer vorsätzlich seiner Verpflichtung aus Artikel 233 § 2a Abs. 3 Satz 2 des Einführungsgesetzes zum Bürgerlichen Gesetzbuche zuwiderhandelte, das vom Nutzer bebaute Grundstück nicht zu belasten. Erwirbt der Nutzer eine Teilfläche, so beschränkt sich der Anspruch nach Satz 1 auf die Zustimmung zur lastenfreien Abschreibung.</w:t>
      </w:r>
    </w:p>
    <w:p>
      <w:r>
        <w:t xml:space="preserve">(2) Der Nutzer kann von dem Inhaber eines in Absatz 1 bezeichneten Rechts verlangen, einer lastenfreien Um- oder Abschreibung einer von ihm zu erwerbenden Teilfläche zuzustimmen, wenn das vom Nutzer errichtete oder erworbene Gebäude oder dessen bauliche Anlage und die hierfür in Anspruch genommene Fläche nach den vertraglichen Regelungen nicht zum Haftungsverband gehören sollten oder deren Nichtzugehörigkeit zum Haftungsverband für den Inhaber des dinglichen Rechts bei Bestellung oder Erwerb erkennbar war. Ist ein Darlehen für den Betrieb des Grundstückseigentümers gewährt worden, so ist zu vermuten, daß ein vom Nutzer bewohntes Eigenheim und die ihm zuzuordnende Fläche nicht als Sicherheit für das Darlehen haften sollen.</w:t>
      </w:r>
    </w:p>
    <w:p>
      <w:r>
        <w:t xml:space="preserve">(3) Liegen die in Absatz 2 genannten Voraussetzungen nicht vor, kann der Nutzer verlangen, daß der Inhaber des dinglichen Rechts die Mithaftung des Trennstücks auf den Betrag beschränkt, dessen Wert im Verhältnis zu dem beim Grundstückseigentümer verbleibenden Grundstück entspricht. § 1132 Abs. 2 des Bürgerlichen Gesetzbuchs findet entsprechende Anwendung.</w:t>
      </w:r>
    </w:p>
    <w:p>
      <w:r>
        <w:rPr>
          <w:color w:val="555555"/>
          <w:sz w:val="17"/>
        </w:rPr>
        <w:t xml:space="preserve">Zitiervorschlag: § 63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