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SachenRBerG — Dienstbarkeit, Nießbrauch, Wohnungsrecht</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Dingliche Rechte am Grundstück, die einen Anspruch auf Zahlung oder Befriedigung aus dem Grundstück nicht gewähren, erlöschen auf den nach § 66 abzuschreibenden Teilflächen, die außerhalb der Ausübungsbefugnis des Inhabers des dinglichen Rechts liegen. Dasselbe gilt, wenn diese Rechte seit ihrer Bestellung nur auf einer Teilfläche ausgeübt wurden. Die Vertragsparteien können von den Inhabern dieser Rechte am Grundstück die Zustimmung zur Berichtigung des Grundbuchs verlangen.</w:t>
      </w:r>
    </w:p>
    <w:p>
      <w:r>
        <w:t xml:space="preserve">(2) Für die nach dem 21. Juli 1992 beantragten Belastungen des Grundstücks ist § 63 Abs. 1 entsprechend anzuwenden.</w:t>
      </w:r>
    </w:p>
    <w:p>
      <w:r>
        <w:rPr>
          <w:color w:val="555555"/>
          <w:sz w:val="17"/>
        </w:rPr>
        <w:t xml:space="preserve">Zitiervorschlag: § 62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