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60 SachenRBerG — Anwendbarkeit des Erbbaurechtsgesetzes, Kosten und Gewährleistung</w:t>
      </w:r>
    </w:p>
    <w:p>
      <w:r>
        <w:rPr>
          <w:color w:val="555555"/>
          <w:sz w:val="18"/>
        </w:rPr>
        <w:t xml:space="preserve">Sachenrechtsbereinigungsgesetz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nach den Bestimmungen dieses Kapitels bestellten Erbbaurechte findet, soweit nicht Abweichendes gesetzlich angeordnet oder zugelassen ist, das Erbbaurechtsgesetzes Anwendung.</w:t>
      </w:r>
    </w:p>
    <w:p>
      <w:r>
        <w:t xml:space="preserve">(2) Die Kosten des Vertrages und seiner Durchführung sind zwischen den Vertragsparteien zu teilen.</w:t>
      </w:r>
    </w:p>
    <w:p>
      <w:r>
        <w:t xml:space="preserve">(3) Der Grundstückseigentümer haftet nicht für Sachmängel des Grundstücks.</w:t>
      </w:r>
    </w:p>
    <w:p>
      <w:r>
        <w:rPr>
          <w:color w:val="555555"/>
          <w:sz w:val="17"/>
        </w:rPr>
        <w:t xml:space="preserve">Zitiervorschlag: § 60 SachenRBerG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https://recht.nulegal.eu/gesetze/SachenRBerG/60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60 SachenRBerG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