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SachenRBerG — Staatlicher oder genossenschaftlicher Wohnungsbau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staatlichen oder genossenschaftlichen Wohnungsbau findet dieses Kapitel Anwendung, wenn</w:t>
      </w:r>
    </w:p>
    <w:p>
      <w:pPr>
        <w:ind w:left="420"/>
      </w:pPr>
      <w:r>
        <w:t xml:space="preserve">1. staatliche Investitionsauftraggeber oder ehemals volkseigene Betriebe der Wohnungswirtschaft mit privaten Grundstückseigentümern oder staatlichen Verwaltern Nutzungsverträge, die die Bebauung des Grundstücks gestattet haben, abgeschlossen und die Grundstücke bebaut haben oder</w:t>
      </w:r>
    </w:p>
    <w:p>
      <w:pPr>
        <w:ind w:left="420"/>
      </w:pPr>
      <w:r>
        <w:t xml:space="preserve">2. Grundstücke mit Billigung staatlicher Stellen ohne eine der Bebauung entsprechende Regelung der Eigentumsverhältnisse mit Gebäuden bebaut worden sind.</w:t>
      </w:r>
    </w:p>
    <w:p>
      <w:r>
        <w:rPr>
          <w:color w:val="555555"/>
          <w:sz w:val="17"/>
        </w:rPr>
        <w:t xml:space="preserve">Zitiervorschlag: § 6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