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SachenRBerG — Erlöschen des Gebäudeeigentums und des Nutzungsrechts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Gebäude wird Bestandteil des Erbbaurechts. Das selbständige Gebäudeeigentum erlischt mit dessen Entstehung.</w:t>
      </w:r>
    </w:p>
    <w:p>
      <w:r>
        <w:t xml:space="preserve">(2) Mit der Bestellung des Erbbaurechts erlöschen zugleich ein nach bisherigem Recht begründetes Nutzungsrecht und etwaige vertragliche oder gesetzliche Besitzrechte des Nutzers.</w:t>
      </w:r>
    </w:p>
    <w:p>
      <w:r>
        <w:rPr>
          <w:color w:val="555555"/>
          <w:sz w:val="17"/>
        </w:rPr>
        <w:t xml:space="preserve">Zitiervorschlag: § 59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