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SachenRBerG — Ankaufsrecht</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Nutzer kann verlangen, daß in den Erbbaurechtsvertrag eine Verpflichtung des Grundstückseigentümers aufgenommen wird, das Grundstück an den jeweiligen Erbbauberechtigten zu verkaufen. Die Frist für das Ankaufsrecht ist auf zwölf Jahre von der Bestellung des Erbbaurechts an zu beschränken, wenn der Grundstückseigentümer eine Befristung verlangt.</w:t>
      </w:r>
    </w:p>
    <w:p>
      <w:r>
        <w:t xml:space="preserve">(2) Der Preis ist entsprechend den Vorschriften in Abschnitt 3 über das Ankaufsrecht zu vereinbaren. Der Bodenwert ist auf den Zeitpunkt festzustellen, in dem ein den Vereinbarungen im Erbbaurechtsvertrag entsprechendes Angebot zum Ankauf des Grundstücks abgegeben wird. Die Grundlagen der Bemessung des Preises sind in den Vertrag aufzunehmen.</w:t>
      </w:r>
    </w:p>
    <w:p>
      <w:r>
        <w:t xml:space="preserve">(3) Im Falle einer Weiterveräußerung des Grundstücks nach dem Ankauf ist § 71 entsprechend anzuwenden.</w:t>
      </w:r>
    </w:p>
    <w:p>
      <w:r>
        <w:rPr>
          <w:color w:val="555555"/>
          <w:sz w:val="17"/>
        </w:rPr>
        <w:t xml:space="preserve">Zitiervorschlag: § 57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