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SachenRBerG — Errichtung und Unterhaltung des Gebäudes, Heimfall</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Der Grundstückseigentümer, der mit der Ausgabe von Erbbaurechten besondere öffentliche, soziale oder vergleichbare Zwecke in bezug auf die Bebauung des Grundstücks verfolgt, kann vom Nutzer die Zustimmung zu vertraglichen Bestimmungen verlangen, in denen sich dieser verpflichtet,</w:t>
      </w:r>
    </w:p>
    <w:p>
      <w:pPr>
        <w:ind w:left="420"/>
      </w:pPr>
      <w:r>
        <w:t xml:space="preserve">1. innerhalb von sechs Jahren nach Abschluß des Erbbaurechtsvertrages das Grundstück zu bebauen,</w:t>
      </w:r>
    </w:p>
    <w:p>
      <w:pPr>
        <w:ind w:left="420"/>
      </w:pPr>
      <w:r>
        <w:t xml:space="preserve">2. ein errichtetes Gebäude in gutem Zustand zu halten und die erforderlichen Reparaturen und Erneuerungen unverzüglich vorzunehmen.</w:t>
      </w:r>
    </w:p>
    <w:p>
      <w:r>
        <w:t xml:space="preserve">(2) Die in Absatz 1 Nr. 1 bestimmte Frist ist vom Grundstückseigentümer auf Verlangen des Erbbauberechtigten um weitere sechs Jahre zu verlängern, wenn dieser aus wirtschaftlichen Gründen innerhalb der ersten sechs Jahre nach Abschluß des Erbbaurechtsvertrages zur Bebauung des Grundstücks nicht in der Lage oder aus besonderen persönlichen Gründen daran gehindert war. Eine Veräußerung des Erbbaurechts führt nicht zur Verlängerung der in Satz 1 bezeichneten Fristen.</w:t>
      </w:r>
    </w:p>
    <w:p>
      <w:r>
        <w:t xml:space="preserve">(3) Sind an dem Gebäude bei Abschluß des Erbbaurechtsvertrages erhebliche Bauschäden vorhanden, so kann im Falle des Absatzes 1 Nr. 2 die Frist zur Behebung dieser Bauschäden auf Verlangen des Erbbauberechtigten bis auf sechs Jahre erstreckt werden, wenn nicht eine sofortige Behebung der Schäden aus Gründen der Bausicherheit erforderlich ist.</w:t>
      </w:r>
    </w:p>
    <w:p>
      <w:r>
        <w:t xml:space="preserve">(4) Der Grundstückseigentümer hat das Recht, vom Nutzer zu verlangen, daß dieser sich ihm gegenüber verpflichtet, das Erbbaurecht auf ihn zu übertragen, wenn der Erbbauberechtigte den in den Absätzen 1 bis 3 bestimmten Pflichten auch nach einer vom Grundstückseigentümer zu setzenden angemessenen Nachfrist schuldhaft nicht nachgekommen ist (Heimfallklausel).</w:t>
      </w:r>
    </w:p>
    <w:p>
      <w:r>
        <w:t xml:space="preserve">(5) Jeder Grundstückseigentümer kann verlangen, daß der Erbbauberechtigte sich zum Abschluß einer den Wert des Gebäudes deckenden Versicherung verpflichtet.</w:t>
      </w:r>
    </w:p>
    <w:p>
      <w:r>
        <w:rPr>
          <w:color w:val="555555"/>
          <w:sz w:val="17"/>
        </w:rPr>
        <w:t xml:space="preserve">Zitiervorschlag: § 56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