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SachenRBerG — Nutzungsbefugnis des Erbbauberechtigten, Grundstücksteilung</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Die Befugnis des Erbbauberechtigten, über die Grundfläche des Gebäudes hinausgehende Teile des Grundstücks zu nutzen, ist nach den §§ 21 bis 27 zu bestimmen. Der Erbbauberechtigte ist berechtigt, auch die nicht bebauten Flächen des belasteten Grundstücks zu nutzen.</w:t>
      </w:r>
    </w:p>
    <w:p>
      <w:r>
        <w:t xml:space="preserve">(2) Grundstückseigentümer und Nutzer können eine Abschreibung des mit dem Erbbaurecht belasteten Grundstücks verlangen, wenn die Nutzungsbefugnis sich nicht auf das Grundstück insgesamt erstreckt, das Restgrundstück selbständig baulich nutzbar ist, eine Teilungsgenehmigung nach § 120 erteilt wird und eine Vermessung durchgeführt werden kann. Die Kosten der Vermessung sind zu teilen.</w:t>
      </w:r>
    </w:p>
    <w:p>
      <w:r>
        <w:rPr>
          <w:color w:val="555555"/>
          <w:sz w:val="17"/>
        </w:rPr>
        <w:t xml:space="preserve">Zitiervorschlag: § 55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