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SachenRBerG — Dauer des Erbbaurechts</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Die regelmäßige Dauer des Erbbaurechts ist entsprechend der nach dem Inhalt des Nutzungsrechts zulässigen Bebauung zu bestimmen. Ist ein Nutzungsrecht nicht bestellt worden, so ist von der tatsächlichen Bebauung auszugehen, wenn sie nach den Rechtsvorschriften zulässig gewesen oder mit Billigung staatlicher Stellen erfolgt ist.</w:t>
      </w:r>
    </w:p>
    <w:p>
      <w:r>
        <w:t xml:space="preserve">(2) Die regelmäßige Dauer des Erbbaurechts beträgt vom Vertragsschluß an</w:t>
      </w:r>
    </w:p>
    <w:p>
      <w:pPr>
        <w:ind w:left="420"/>
      </w:pPr>
      <w:r>
        <w:t xml:space="preserve">1. 90 Jahre</w:t>
      </w:r>
    </w:p>
    <w:p>
      <w:pPr>
        <w:ind w:left="780"/>
      </w:pPr>
      <w:r>
        <w:t xml:space="preserve">a) für Ein- und Zweifamilienhäuser oder</w:t>
      </w:r>
    </w:p>
    <w:p>
      <w:pPr>
        <w:ind w:left="780"/>
      </w:pPr>
      <w:r>
        <w:t xml:space="preserve">b) für die sozialen Zwecken dienenden Gebäude (insbesondere Schulen, Krankenhäuser, Kindergärten),</w:t>
      </w:r>
    </w:p>
    <w:p>
      <w:pPr>
        <w:ind w:left="420"/>
      </w:pPr>
      <w:r>
        <w:t xml:space="preserve">2. 80 Jahre für die im staatlichen oder genossenschaftlichen Wohnungsbau errichteten Gebäude sowie für Büro- und andere Dienstgebäude,</w:t>
      </w:r>
    </w:p>
    <w:p>
      <w:pPr>
        <w:ind w:left="420"/>
      </w:pPr>
      <w:r>
        <w:t xml:space="preserve">3. 50 Jahre für die land-, forstwirtschaftlichen oder gewerblichen Zwecken dienenden Gebäude und alle anderen baulichen Anlagen.</w:t>
      </w:r>
    </w:p>
    <w:p>
      <w:r>
        <w:t xml:space="preserve">(3) Auf Verlangen des Grundstückseigentümers ist eine verkürzte Laufzeit nach der Restnutzungsdauer des Gebäudes zu vereinbaren, wenn diese weniger als 50, jedoch mehr als 25 Jahre beträgt, das Grundstück mit einem land-, forstwirtschaftlich, gewerblich genutzten oder einem öffentlichen Zwecken dienenden Gebäude oder einer baulichen Anlage bebaut worden ist und für die Bebauung ein dingliches Nutzungsrecht nicht bestellt oder ein unbefristeter Nutzungsvertrag, der nur aus besonderen Gründen gekündigt werden konnte, nicht geschlossen wurde. Ist ein Vertrag mit einer über die Restnutzungsdauer des Gebäudes hinausgehenden Laufzeit abgeschlossen worden, kann der Nutzer die Bestellung eines Erbbaurechts für den Zeitraum verlangen, der wenigstens der Restlaufzeit des Vertrages entspricht, jedoch nicht über den in Absatz 2 bestimmten Zeitraum hinaus. Beträgt die Restnutzungsdauer weniger als 25 Jahre, so ist § 31 Abs. 2 bis 5 anzuwenden.</w:t>
      </w:r>
    </w:p>
    <w:p>
      <w:r>
        <w:rPr>
          <w:color w:val="555555"/>
          <w:sz w:val="17"/>
        </w:rPr>
        <w:t xml:space="preserve">Zitiervorschlag: § 53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