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SachenRBerG — Sicherung des Erbbauzinses</w:t>
      </w:r>
    </w:p>
    <w:p>
      <w:r>
        <w:rPr>
          <w:color w:val="555555"/>
          <w:sz w:val="18"/>
        </w:rPr>
        <w:t xml:space="preserve">Sachenrechtsbereinigungsgesetz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Grundstückseigentümer kann die Absicherung des regelmäßigen Erbbauzinses durch Eintragung einer Reallast an rangbereiter Stelle sowie eine Vereinbarung über die Sicherung der Reallast nach § 9 Abs. 3 des Erbbaurechtsgesetzes verlangen.</w:t>
      </w:r>
    </w:p>
    <w:p>
      <w:r>
        <w:t xml:space="preserve">(2) Auf Verlangen des Nutzers ist in den Erbbaurechtsvertrag eine Bestimmung aufzunehmen, nach der sich der Grundstückseigentümer zu einem Rangrücktritt der Reallast zugunsten eines für Baumaßnahmen des Nutzers innerhalb des in § 13 Absatz 2, § 14 Abs. 1 und § 16 Abs. 1 bis 3 des Pfandbriefgesetzes bezeichneten Finanzierungsraums verpflichtet, wenn nach § 9 Abs. 3 des Erbbaurechtsgesetzes das Bestehenbleiben des Erbbauzinses als Inhalt der Reallast vereinbart wird.</w:t>
      </w:r>
    </w:p>
    <w:p>
      <w:r>
        <w:rPr>
          <w:color w:val="555555"/>
          <w:sz w:val="17"/>
        </w:rPr>
        <w:t xml:space="preserve">Zitiervorschlag: § 52 SachenRBerG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https://recht.nulegal.eu/gesetze/SachenRBerG/52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