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SachenRBerG — Zinserhöhung nach Veräußerung</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Der Grundstückseigentümer kann verlangen, daß in den Erbbaurechtsvertrag eine Bestimmung aufgenommen wird, in der sich der Erbbauberechtigte im Falle einer Veräußerung des Erbbaurechts in den ersten drei Jahren nach dessen Bestellung verpflichtet, einen Vertrag über die Veräußerung des Erbbaurechts in der Weise abzuschließen, daß der Erwerber des Erbbaurechts gegenüber dem Grundstückseigentümer zu einer Zinsanpassung nach Absatz 2 verpflichtet ist, wenn die in § 71 Abs. 1 Satz 1 Nr. 1 und 3 bezeichneten Voraussetzungen vorliegen.</w:t>
      </w:r>
    </w:p>
    <w:p>
      <w:r>
        <w:t xml:space="preserve">(2) Der Zins erhöht sich von</w:t>
      </w:r>
    </w:p>
    <w:p>
      <w:pPr>
        <w:ind w:left="420"/>
      </w:pPr>
      <w:r>
        <w:t xml:space="preserve">1. zwei auf vier vom Hundert jährlich des Bodenwerts, wenn das Erbbaurecht für eine Nutzung des Gebäudes zu Wohnzwecken bestellt wurde, oder</w:t>
      </w:r>
    </w:p>
    <w:p>
      <w:pPr>
        <w:ind w:left="420"/>
      </w:pPr>
      <w:r>
        <w:t xml:space="preserve">2. dreieinhalb auf sieben vom Hundert jährlich bei land-, forstwirtschaftlicher oder gewerblicher Nutzung oder einer Nutzung des Erbbaurechts für öffentliche Zwecke.</w:t>
      </w:r>
    </w:p>
    <w:p>
      <w:r>
        <w:t xml:space="preserve">(3) Im Falle einer Veräußerung in den folgenden drei Jahren kann der Grundstückseigentümer eine Absatz 1 entsprechende Verpflichtung des Erbbauberechtigten zur Anpassung des Erbbauzinses bis auf drei vom Hundert jährlich des Bodenwerts bei einer Nutzung zu Wohnzwecken und bis auf fünf und ein Viertel vom Hundert jährlich des Bodenwerts bei allen anderen Nutzungen verlangen.</w:t>
      </w:r>
    </w:p>
    <w:p>
      <w:r>
        <w:t xml:space="preserve">(4) Im Falle einer land-, forstwirtschaftlichen oder gewerblichen Nutzung oder einer Nutzung für öffentliche Zwecke kann der Nutzer eine Bemessung des Zinssatzes nach dem für die Nutzung üblichen Zins verlangen, wenn dieser mehr oder weniger als sieben vom Hundert beträgt. Maßgebender Zeitpunkt für die in den Absätzen 2 und 3 bestimmten Fristen ist der Zeitpunkt des Abschlusses des die Verpflichtung zur Übertragung des Erbbaurechts begründenden schuldrechtlichen Geschäfts.</w:t>
      </w:r>
    </w:p>
    <w:p>
      <w:r>
        <w:t xml:space="preserve">(5) Der Grundstückseigentümer kann verlangen, daß der Nutzer sich im Erbbaurechtsvertrag ihm gegenüber verpflichtet, einen Vertrag über die Veräußerung des Erbbaurechts so abzuschließen, daß der Erwerber die Pflichten zur Zinsanpassung wegen der in § 70 Abs. 1 bezeichneten Nutzungsänderungen übernimmt.</w:t>
      </w:r>
    </w:p>
    <w:p>
      <w:r>
        <w:rPr>
          <w:color w:val="555555"/>
          <w:sz w:val="17"/>
        </w:rPr>
        <w:t xml:space="preserve">Zitiervorschlag: § 48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