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SachenRBerG — Zinsanpassung an Nutzungsänderungen</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(1) Nutzungsänderungen, zu denen der Erbbauberechtigte nach § 54 Abs. 2 und 3 berechtigt ist, rechtfertigen keine Anpassung des Erbbauzinses. Für Nutzungsänderungen nach § 54 Abs. 1 und 4 kann die Aufnahme der folgenden Zinsanpassungen im Erbbaurechtsvertrag verlangt werden:</w:t>
      </w:r>
    </w:p>
    <w:p>
      <w:pPr>
        <w:ind w:left="420"/>
      </w:pPr>
      <w:r>
        <w:t xml:space="preserve">1. Der Zinssatz ist heraufzusetzen,</w:t>
      </w:r>
    </w:p>
    <w:p>
      <w:pPr>
        <w:ind w:left="780"/>
      </w:pPr>
      <w:r>
        <w:t xml:space="preserve">a) von zwei auf sieben vom Hundert jährlich des Bodenwerts, wenn ein zu Wohnzwecken errichtetes Gebäude zu gewerblichen, land-, forstwirtschaftlichen oder zu öffentlichen Zwecken genutzt wird,</w:t>
      </w:r>
    </w:p>
    <w:p>
      <w:pPr>
        <w:ind w:left="780"/>
      </w:pPr>
      <w:r>
        <w:t xml:space="preserve">b) von dreieinhalb auf sieben vom Hundert jährlich des Bodenwerts, wenn land- oder forstwirtschaftlich genutzte Gebäude gewerblich genutzt werden oder wenn ein anderer Wechsel in der bisherigen Art der Nutzung erfolgt;</w:t>
      </w:r>
    </w:p>
    <w:p>
      <w:pPr>
        <w:ind w:left="420"/>
      </w:pPr>
      <w:r>
        <w:t xml:space="preserve">2. der Zinssatz ist von dreieinhalb auf zwei vom Hundert jährlich des Bodenwerts herabzusetzen, wenn eine am 2. Oktober 1990 ausgeübte gewerbliche Nutzung nicht mehr ausgeübt werden kann und das Gebäude zu Wohnzwecken genutzt wird.</w:t>
      </w:r>
    </w:p>
    <w:p>
      <w:r>
        <w:t xml:space="preserve">In den Fällen des Satzes 2 Nr. 1 kann jeder Beteiligte verlangen, daß ein anderer Zinssatz zugrunde gelegt wird, wenn der für diese Nutzung übliche Zins mehr oder weniger als sieben vom Hundert jährlich beträgt. Wird in den Fällen des Satzes 2 Nr. 2 das Gebäude nunmehr zu land- oder forstwirtschaftlichen Zwecken genutzt, kann der Nutzer eine Anpassung des regelmäßigen Zinses verlangen, wenn der für diese Nutzung übliche Zins weniger als sieben vom Hundert jährlich beträgt.</w:t>
      </w:r>
    </w:p>
    <w:p>
      <w:r>
        <w:t xml:space="preserve">(2) Der Grundstückseigentümer kann vom Erbbauberechtigten verlangen, daß sich dieser ihm gegenüber verpflichtet, in einem Vertrag über die Veräußerung des Erbbaurechts die in den Absätzen 1 und 2 bestimmten Pflichten zur Zinsanpassung seinem Rechtsnachfolger aufzuerlegen.</w:t>
      </w:r>
    </w:p>
    <w:p>
      <w:r>
        <w:t xml:space="preserve">(3) Der Erbbauzins ist nach den in Absatz 1 Satz 2 Nr. 1 Buchstabe a und b genannten Zinssätzen zu bemessen, wenn der Nutzer das Gebäude oder die bauliche Anlage nach dem Ablauf des 20. Juli 1993 erworben hat und zum Zeitpunkt des der Veräußerung zugrunde liegenden Rechtsgeschäfts die in § 29 Abs. 3 Satz 1 bezeichneten Voraussetzungen vorlagen. Satz 1 ist nicht anzuwenden, wenn das Gebäude oder die bauliche Anlage als Teil eines Unternehmens veräußert wird und der Nutzer das Geschäft seines Rechtsvorgängers fortführt.</w:t>
      </w:r>
    </w:p>
    <w:p>
      <w:r>
        <w:rPr>
          <w:color w:val="555555"/>
          <w:sz w:val="17"/>
        </w:rPr>
        <w:t xml:space="preserve">Zitiervorschlag: § 47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