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SachenRBerG — Regelmäßiger Zins</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regelmäßige Zins beträgt die Hälfte des für die entsprechende Nutzung üblichen Zinses.</w:t>
      </w:r>
    </w:p>
    <w:p>
      <w:r>
        <w:t xml:space="preserve">(2) Als Zinssatz ist in Ansatz zu bringen</w:t>
      </w:r>
    </w:p>
    <w:p>
      <w:pPr>
        <w:ind w:left="420"/>
      </w:pPr>
      <w:r>
        <w:t xml:space="preserve">1. für Eigenheime</w:t>
      </w:r>
    </w:p>
    <w:p>
      <w:pPr>
        <w:ind w:left="780"/>
      </w:pPr>
      <w:r>
        <w:t xml:space="preserve">a) zwei vom Hundert jährlich des Bodenwerts,</w:t>
      </w:r>
    </w:p>
    <w:p>
      <w:pPr>
        <w:ind w:left="780"/>
      </w:pPr>
      <w:r>
        <w:t xml:space="preserve">b) vier vom Hundert jährlich des Bodenwerts, soweit die Größe des belasteten Grundstücks die gesetzliche Regelgröße von 500 Quadratmetern übersteigt und die darüber hinausgehende Fläche abtrennbar und selbständig baulich nutzbar ist oder soweit die Größe des belasteten Grundstücks 1.000 Quadratmeter übersteigt und die darüber hinausgehende Fläche abtrennbar und angemessen wirtschaftlich nutzbar ist,</w:t>
      </w:r>
    </w:p>
    <w:p>
      <w:pPr>
        <w:ind w:left="420"/>
      </w:pPr>
      <w:r>
        <w:t xml:space="preserve">2. für im staatlichen oder genossenschaftlichen Wohnungsbau errichtete Gebäude zwei vom Hundert jährlich des Bodenwerts,</w:t>
      </w:r>
    </w:p>
    <w:p>
      <w:pPr>
        <w:ind w:left="420"/>
      </w:pPr>
      <w:r>
        <w:t xml:space="preserve">3. für öffentlichen Zwecken dienende oder land-, forstwirtschaftlich oder gewerblich genutzte Gebäude dreieinhalb vom Hundert jährlich des Bodenwerts.</w:t>
      </w:r>
    </w:p>
    <w:p>
      <w:r>
        <w:t xml:space="preserve">In den Fällen des Satzes 1 Nr. 3 kann jeder Beteiligte verlangen, daß ein anderer Zinssatz der Erbbauzinsberechnung zugrunde gelegt wird, wenn der für diese Nutzung übliche Zinssatz mehr oder weniger als sieben vom Hundert jährlich beträgt.</w:t>
      </w:r>
    </w:p>
    <w:p>
      <w:r>
        <w:rPr>
          <w:color w:val="555555"/>
          <w:sz w:val="17"/>
        </w:rPr>
        <w:t xml:space="preserve">Zitiervorschlag: § 43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