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40 SachenRBerG — Wohnungserbbaurecht</w:t>
      </w:r>
    </w:p>
    <w:p>
      <w:r>
        <w:rPr>
          <w:color w:val="555555"/>
          <w:sz w:val="18"/>
        </w:rPr>
        <w:t xml:space="preserve">Sachenrechtsbereinigungsgesetz</w:t>
      </w:r>
    </w:p>
    <w:p>
      <w:r>
        <w:rPr>
          <w:color w:val="555555"/>
          <w:sz w:val="18"/>
        </w:rPr>
        <w:t xml:space="preserve">Stand: 10.06.2019 (konsolidierte Textfassung, kein amtliches Inkrafttretensdatum)</w:t>
      </w:r>
    </w:p>
    <w:p>
      <w:r>
        <w:t xml:space="preserve">(1) Der Anspruch ist auf die Erbbaurechtsbestellung und Begründung von Erbbaurechten nach § 30 des Wohnungseigentumsgesetzes zu richten, wenn</w:t>
      </w:r>
    </w:p>
    <w:p>
      <w:pPr>
        <w:ind w:left="420"/>
      </w:pPr>
      <w:r>
        <w:t xml:space="preserve">1. natürliche Personen Gebäude (Mehrfamilien- und zusammenhängende Siedlungshäuser) als Miteigentümer erworben oder gemeinsam errichtet haben und abgeschlossene Teile eines Gebäudes unter Ausschluß der anderen nutzen,</w:t>
      </w:r>
    </w:p>
    <w:p>
      <w:pPr>
        <w:ind w:left="420"/>
      </w:pPr>
      <w:r>
        <w:t xml:space="preserve">2. staatliche Stellen, Gemeinden oder Genossenschaften Gebäude gemeinsam errichtet haben und abgeschlossene Teile des Gebäudes unter Ausschluß der anderen nutzen.</w:t>
      </w:r>
    </w:p>
    <w:p>
      <w:r>
        <w:t xml:space="preserve">Ein Wohnungserbbaurecht ist auch dann zu bestellen, wenn die Genehmigung zu einer Teilung durch Abschreibung der mit den Erbbaurechten belasteten Grundstücke nach § 120 Abs. 1 versagt wird.</w:t>
      </w:r>
    </w:p>
    <w:p>
      <w:r>
        <w:t xml:space="preserve">(2) Jeder Nutzer kann von den anderen Nutzern und von dem Grundstückseigentümer den Abschluß der für die Begründung eines Erbbaurechts und die Bestellung von Wohnungserbbaurechten erforderlichen Verträge auch dann verlangen, wenn eine Teilung des Grundstücks wegen gemeinschaftlicher Erschließungsanlagen oder gemeinschaftlich genutzter Anbauten unzweckmäßig ist. Eine Realteilung ist in der Regel unzweckmäßig, wenn zur Sicherung der Nutzung der Gebäude mehrere Dienstbarkeiten auf verschiedenen Grundstücken zu bestellen sind und Verträge über die Unterhaltung gemeinschaftlicher Anlagen und Anbauten zu schließen sind, die auch für Rechtsnachfolger verbindlich sein müssen.</w:t>
      </w:r>
    </w:p>
    <w:p>
      <w:r>
        <w:t xml:space="preserve">(3) Jeder Nutzer kann von den anderen Beteiligten den Abschluß einer Vereinbarung über den Erbbauzins verlangen, nach der die Nutzer nach der Größe ihrer Erbbaurechtsanteile dem Grundstückseigentümer allein zur Zahlung des bezeichneten Erbbauzinses verpflichtet sind. Einer Zustimmung der Grundpfandrechtsgläubiger bedarf es nicht.</w:t>
      </w:r>
    </w:p>
    <w:p>
      <w:r>
        <w:t xml:space="preserve">(4) Nutzer und Grundstückseigentümer sind verpflichtet, an der Aufteilung und der Erlangung der in § 7 Abs. 4 des Wohnungseigentumsgesetzes bezeichneten Unterlagen mitzuwirken. Die dadurch entstehenden Kosten haben die künftigen Inhaber der Wohnungserbbaurechte nach dem Verhältnis ihrer Anteile zu tragen.</w:t>
      </w:r>
    </w:p>
    <w:p>
      <w:r>
        <w:rPr>
          <w:color w:val="555555"/>
          <w:sz w:val="17"/>
        </w:rPr>
        <w:t xml:space="preserve">Zitiervorschlag: § 40 SachenRBerG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https://recht.nulegal.eu/gesetze/SachenRBerG/40</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