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SachenRBerG — Bauliche Nutzungen</w:t>
      </w:r>
    </w:p>
    <w:p>
      <w:r>
        <w:rPr>
          <w:color w:val="555555"/>
          <w:sz w:val="18"/>
        </w:rPr>
        <w:t xml:space="preserve">Sachenrechtsbereinigungsgesetz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Bestimmungen dieses Kapitels sind anzuwenden auf</w:t>
      </w:r>
    </w:p>
    <w:p>
      <w:pPr>
        <w:ind w:left="420"/>
      </w:pPr>
      <w:r>
        <w:t xml:space="preserve">1. den Erwerb oder den Bau eines Eigenheimes durch oder für natürliche Personen (§ 5),</w:t>
      </w:r>
    </w:p>
    <w:p>
      <w:pPr>
        <w:ind w:left="420"/>
      </w:pPr>
      <w:r>
        <w:t xml:space="preserve">2. den staatlichen oder genossenschaftlichen Wohnungsbau (§ 6),</w:t>
      </w:r>
    </w:p>
    <w:p>
      <w:pPr>
        <w:ind w:left="420"/>
      </w:pPr>
      <w:r>
        <w:t xml:space="preserve">3. den Bau von Wohngebäuden durch landwirtschaftliche Produktionsgenossenschaften sowie die Errichtung gewerblicher, landwirtschaftlicher oder öffentlichen Zwecken dienender Gebäude (§ 7) und</w:t>
      </w:r>
    </w:p>
    <w:p>
      <w:pPr>
        <w:ind w:left="420"/>
      </w:pPr>
      <w:r>
        <w:t xml:space="preserve">4. die von der Deutschen Demokratischen Republik an ausländische Staaten verliehenen Nutzungsrechte (§ 110).</w:t>
      </w:r>
    </w:p>
    <w:p>
      <w:r>
        <w:rPr>
          <w:color w:val="555555"/>
          <w:sz w:val="17"/>
        </w:rPr>
        <w:t xml:space="preserve">Zitiervorschlag: § 4 SachenRBerG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https://recht.nulegal.eu/gesetze/SachenRBerG/4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