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SachenRBerG — Mehrere Erbbaurechte auf einem Grundstück, Gesamterbbaurechte, Nachbarerbbaurechte</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An einem Grundstück können mehrere Erbbaurechte bestellt werden, wenn jedes von ihnen nach seinem Inhalt nur an einer jeweils anderen Grundstücksteilfläche ausgeübt werden kann. In den Erbbaurechtsverträgen muß jeweils in einem Lageplan bestimmt sein, auf welche Teilfläche des Grundstücks sich die Nutzungsbefugnis des Erbbauberechtigten erstreckt. Der Lageplan hat den in § 8 Abs. 2 Satz 1 bis 3 des Bodensonderungsgesetzes genannten Anforderungen für eine nach jenem Gesetz aufzustellende Grundstückskarte zu entsprechen. Der Vertrag muß die Verpflichtung für die jeweiligen Erbbauberechtigten und Grundstückseigentümer enthalten, die Teilfläche nach Vermessung vom belasteten Grundstück abzuschreiben und der Eintragung als selbständiges Grundstück in das Grundbuch zuzustimmen. Mehrere nach Satz 1 bestellte Erbbaurechte haben untereinander Gleichrang, auch wenn sie zu unterschiedlichen Zeiten in das Grundbuch eingetragen werden. Der gleiche Rang ist im Grundbuch zu vermerken; einer Zustimmung der Inhaber der anderen Erbbaurechte wie der Inhaber dinglicher Rechte an diesen bedarf es nicht. Wird eines dieser Erbbaurechte zwangsweise versteigert, so sind die anderen im Gleichrang an erster Rangstelle bestellten Erbbaurechte wie Rechte an einem anderen Grundstück zu behandeln.</w:t>
      </w:r>
    </w:p>
    <w:p>
      <w:r>
        <w:t xml:space="preserve">(2) Das Erbbaurecht kann sich auf mehrere Grundstücke erstrecken (Gesamterbbaurecht). Die Belastung durch das Gesamterbbaurecht kann ein Grundstück einbeziehen, das nicht bebaut worden ist, wenn der Anspruch des Nutzers auf Erbbaurechtsbestellung sich nach den §§ 21 bis 27 auch auf dieses Grundstück erstreckt.</w:t>
      </w:r>
    </w:p>
    <w:p>
      <w:r>
        <w:t xml:space="preserve">(3) Erstreckt sich die Bebauung auf ein benachbartes Grundstück, so kann zu deren Absicherung ein Erbbaurecht bestellt werden (Nachbarerbbaurecht), wenn</w:t>
      </w:r>
    </w:p>
    <w:p>
      <w:pPr>
        <w:ind w:left="420"/>
      </w:pPr>
      <w:r>
        <w:t xml:space="preserve">1. der Nutzer Eigentümer des herrschenden Grundstücks und Inhaber eines auf dem benachbarten Grundstück bestellten Nachbarerbbaurechts wird,</w:t>
      </w:r>
    </w:p>
    <w:p>
      <w:pPr>
        <w:ind w:left="420"/>
      </w:pPr>
      <w:r>
        <w:t xml:space="preserve">2. die grundpfandrechtlichen Belastungen und die Reallast zur Absicherung des Erbbauzinses auf dem Grundstückseigentum und dem Erbbaurecht als Gesamtbelastung mit gleichem Rang eingetragen werden und</w:t>
      </w:r>
    </w:p>
    <w:p>
      <w:pPr>
        <w:ind w:left="420"/>
      </w:pPr>
      <w:r>
        <w:t xml:space="preserve">3. die Erbbaurechtsverträge keinen Anspruch auf den Erwerb des Erbbaurechts (Heimfall) enthalten oder das Heimfallrecht nur dann ausgeübt werden kann, wenn das Grundstückseigentum und die sich auf das Gebäude beziehenden Erbbaurechte in einer Hand bleiben.</w:t>
      </w:r>
    </w:p>
    <w:p>
      <w:r>
        <w:t xml:space="preserve">Über das Erbbaurecht kann nur zusammen mit dem Eigentum am herrschenden Grundstück verfügt werden. Das Erbbaurecht ist im Grundbuch als Nachbarerbbaurecht zu bezeichnen, im Grundbuch des belasteten Grundstücks als Belastung und im Grundbuch des herrschenden Grundstücks als Bestandteil einzutragen.</w:t>
      </w:r>
    </w:p>
    <w:p>
      <w:r>
        <w:rPr>
          <w:color w:val="555555"/>
          <w:sz w:val="17"/>
        </w:rPr>
        <w:t xml:space="preserve">Zitiervorschlag: § 39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