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38 SachenRBerG — Bestellung eines Erbbaurechts für einen Überlassungsvertrag</w:t>
      </w:r>
    </w:p>
    <w:p>
      <w:r>
        <w:rPr>
          <w:color w:val="555555"/>
          <w:sz w:val="18"/>
        </w:rPr>
        <w:t xml:space="preserve">Sachenrechtsbereinigungsgesetz</w:t>
      </w:r>
    </w:p>
    <w:p>
      <w:r>
        <w:rPr>
          <w:color w:val="555555"/>
          <w:sz w:val="18"/>
        </w:rPr>
        <w:t xml:space="preserve">Stand: 10.06.2019 (konsolidierte Textfassung, kein amtliches Inkrafttretensdatum)</w:t>
      </w:r>
    </w:p>
    <w:p>
      <w:r>
        <w:t xml:space="preserve">(1) Ist dem Nutzer das Grundstück aufgrund eines Überlassungsvertrages übergeben worden, so kann der Grundstückseigentümer vom Nutzer verlangen, daß dieser auf seine vertraglichen Ansprüche für Werterhöhungen des Grundstücks verzichtet und die zur Absicherung dieser Forderung eingetragene Hypothek aufgibt. Der Nutzer hat den Grundstückseigentümer freizustellen, wenn er den Anspruch auf Wertersatz und die Hypothek an einen Dritten abgetreten hat.</w:t>
      </w:r>
    </w:p>
    <w:p>
      <w:r>
        <w:t xml:space="preserve">(2) Der Grundstückseigentümer hat dem Nutzer die Beträge zu erstatten, die der staatliche Verwalter aus den vom Nutzer eingezahlten Beträgen zur Ablösung von Verbindlichkeiten des Grundstückseigentümers und Grundpfandrechten, die zu deren Sicherung bestellt wurden, verwendet hat. Der Aufwendungsersatzanspruch des Nutzers nach Satz 1 gilt als erloschen, soweit aus der Zahlung des Nutzers Verbindlichkeiten und Grundpfandrechte getilgt wurden, die der Grundstückseigentümer nach § 16 Abs. 2 Satz 2, Abs. 5 bis 7 in Verbindung mit § 18 Abs. 2 des Vermögensgesetzes nicht übernehmen müßte, wenn diese im Falle der Aufhebung oder der Beendigung der staatlichen Verwaltung noch fortbestanden hätten. Satz 2 ist auf eine zur Absicherung des Aufwendungsersatzanspruchs des Nutzers eingetragene Hypothek entsprechend anzuwenden. Auf Abtretungen, die nach Ablauf des 31. Dezember 2000 erfolgen, sind die §§ 892 und 1157 Satz 2 des Bürgerlichen Gesetzbuchs entsprechend anzuwenden.</w:t>
      </w:r>
    </w:p>
    <w:p>
      <w:r>
        <w:t xml:space="preserve">(3) Soweit Ansprüche und Rechte nach Absatz 2 Satz 2 und 3 erlöschen, ist § 16 Abs. 9 Satz 3 des Vermögensgesetzes entsprechend anzuwenden.</w:t>
      </w:r>
    </w:p>
    <w:p>
      <w:r>
        <w:t xml:space="preserve">(4) Der Nutzer ist berechtigt, die hinterlegten Beträge mit Ausnahme der aufgelaufenen Zinsen zurückzufordern. Der Grundstückseigentümer kann vom Nutzer die Zustimmung zur Auszahlung der aufgelaufenen Zinsen verlangen.</w:t>
      </w:r>
    </w:p>
    <w:p>
      <w:r>
        <w:rPr>
          <w:color w:val="555555"/>
          <w:sz w:val="17"/>
        </w:rPr>
        <w:t xml:space="preserve">Zitiervorschlag: § 38 SachenRBerG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https://recht.nulegal.eu/gesetze/SachenRBerG/38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