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SachenRBerG — Hypothek, Grundschuld, Rentenschuld, Reallast</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Soweit selbständiges Gebäudeeigentum nicht besteht, können die Inhaber solcher dinglichen Rechte, die Ansprüche auf Zahlung oder Befriedigung aus dem Grundstück gewähren, den Rangrücktritt hinter das Erbbaurecht verweigern, es sei denn, daß der Nutzer ihnen eine Belastung des Erbbaurechts mit einem dinglichen Recht an gleicher Rangstelle wie am Grundstück und in Höhe des Betrages bewilligt, der dem Verhältnis des Werts des Erbbaurechts zu dem Wert des belasteten Grundstücks nach den für die Wertermittlung maßgebenden Grundsätzen entspricht. Das in Satz 1 bestimmte Recht besteht nicht, wenn</w:t>
      </w:r>
    </w:p>
    <w:p>
      <w:pPr>
        <w:ind w:left="420"/>
      </w:pPr>
      <w:r>
        <w:t xml:space="preserve">1. der Antrag auf Eintragung der Belastung nach dem 21. Juli 1992 beim Grundbuchamt einging und dem Inhaber des dinglichen Rechts bekannt war, daß der Grundstückseigentümer vorsätzlich seiner Verpflichtung aus Artikel 233 § 2a Abs. 3 Satz 2 des Einführungsgesetzes zum Bürgerlichen Gesetzbuche zuwiderhandelte, das vom Nutzer bebaute Grundstück nicht zu belasten, oder</w:t>
      </w:r>
    </w:p>
    <w:p>
      <w:pPr>
        <w:ind w:left="420"/>
      </w:pPr>
      <w:r>
        <w:t xml:space="preserve">2. das vom Nutzer errichtete oder erworbene Gebäude oder dessen bauliche Anlage und die hierfür in Anspruch genommene Fläche nach den vertraglichen Regelungen nicht zum Haftungsverband gehören sollten oder deren Nichtzugehörigkeit zum Haftungsverband für den Inhaber des dinglichen Rechts bei dessen Begründung oder Erwerb erkennbar war.</w:t>
      </w:r>
    </w:p>
    <w:p>
      <w:r>
        <w:t xml:space="preserve">Ist ein Darlehen für den Betrieb des Grundstückseigentümers gewährt worden, ist zu vermuten, daß ein vom Nutzer errichtetes oder erworbenes Eigenheim und die ihm zuzuordnende Fläche nicht als Sicherheit für das Darlehen dienen sollten.</w:t>
      </w:r>
    </w:p>
    <w:p>
      <w:r>
        <w:t xml:space="preserve">(2) Der Nutzer ist berechtigt, das dingliche Recht nach Absatz 1 Satz 1 durch eine dem Umfang des Rechts entsprechende Befriedigung des Gläubigers zum nächstmöglichen Kündigungstermin abzulösen.</w:t>
      </w:r>
    </w:p>
    <w:p>
      <w:r>
        <w:rPr>
          <w:color w:val="555555"/>
          <w:sz w:val="17"/>
        </w:rPr>
        <w:t xml:space="preserve">Zitiervorschlag: § 36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