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SachenRBerG — Regelungsinstrumente und Regelungsziele</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(1) In den in § 1 Abs. 1 Nr. 1 bezeichneten Fällen können Grundstückseigentümer und Nutzer (Beteiligte) zur Bereinigung der Rechtsverhältnisse an den Grundstücken Ansprüche auf Bestellung von Erbbaurechten oder auf Ankauf der Grundstücke oder der Gebäude nach Maßgabe dieses Kapitels geltend machen. Die Beteiligten können von den gesetzlichen Bestimmungen über den Vertragsinhalt abweichende Vereinbarungen treffen.</w:t>
      </w:r>
    </w:p>
    <w:p>
      <w:r>
        <w:t xml:space="preserve">(2) Die Bereinigung erfolgt zur</w:t>
      </w:r>
    </w:p>
    <w:p>
      <w:pPr>
        <w:ind w:left="420"/>
      </w:pPr>
      <w:r>
        <w:t xml:space="preserve">1. Anpassung der nach dem Recht der Deutschen Demokratischen Republik bestellten Nutzungsrechte an das Bürgerliche Gesetzbuch und seine Nebengesetze,</w:t>
      </w:r>
    </w:p>
    <w:p>
      <w:pPr>
        <w:ind w:left="420"/>
      </w:pPr>
      <w:r>
        <w:t xml:space="preserve">2. Absicherung aufgrund von Rechtsträgerschaften vorgenommener baulicher Investitionen, soweit den Nutzern nicht das Eigentum an den Grundstücken zugewiesen worden ist, und</w:t>
      </w:r>
    </w:p>
    <w:p>
      <w:pPr>
        <w:ind w:left="420"/>
      </w:pPr>
      <w:r>
        <w:t xml:space="preserve">3. Regelung der Rechte am Grundstück beim Auseinanderfallen von Grundstücks- und Gebäudeeigentum.</w:t>
      </w:r>
    </w:p>
    <w:p>
      <w:r>
        <w:t xml:space="preserve">Nach Absatz 1 sind auch die Rechtsverhältnisse zu bereinigen, denen bauliche Investitionen zugrunde liegen, zu deren Absicherung nach den Rechtsvorschriften der Deutschen Demokratischen Republik eine in Satz 1 bezeichnete Rechtsposition vorgesehen war, auch wenn die Absicherung nicht erfolgt ist.</w:t>
      </w:r>
    </w:p>
    <w:p>
      <w:r>
        <w:t xml:space="preserve">(3) Nach diesem Gesetz sind auch die Fälle zu bereinigen, in denen der Nutzer ein Gebäude oder eine bauliche Anlage gekauft hat, die Bestellung eines Nutzungsrechts aber ausgeblieben und selbständiges, vom Eigentum am Grundstück getrenntes Eigentum am Gebäude nicht entstanden ist, wenn der Nutzer aufgrund des Vertrags Besitz am Grundstück erlangt hat oder den Besitz ausgeübt hat. Dies gilt nicht, wenn der Vertrag</w:t>
      </w:r>
    </w:p>
    <w:p>
      <w:pPr>
        <w:ind w:left="420"/>
      </w:pPr>
      <w:r>
        <w:t xml:space="preserve">1. wegen einer Pflichtverletzung des Käufers nicht erfüllt worden ist,</w:t>
      </w:r>
    </w:p>
    <w:p>
      <w:pPr>
        <w:ind w:left="420"/>
      </w:pPr>
      <w:r>
        <w:t xml:space="preserve">2. wegen Versagung einer erforderlichen Genehmigung aus anderen als den in § 6 der Verordnung über die Anmeldung vermögensrechtlicher Ansprüche in der Fassung der Bekanntmachung vom 11. Oktober 1990 (BGBl. I S. 2162) genannten Gründen nicht durchgeführt werden konnte oder</w:t>
      </w:r>
    </w:p>
    <w:p>
      <w:pPr>
        <w:ind w:left="420"/>
      </w:pPr>
      <w:r>
        <w:t xml:space="preserve">3. nach dem 18. Oktober 1989 abgeschlossen worden ist und das Grundstück nach den Vorschriften des Vermögensgesetzes an den Grundstückseigentümer zurückzuübertragen ist oder zurückübertragen wurde; für diese Fälle gilt § 121.</w:t>
      </w:r>
    </w:p>
    <w:p>
      <w:r>
        <w:rPr>
          <w:color w:val="555555"/>
          <w:sz w:val="17"/>
        </w:rPr>
        <w:t xml:space="preserve">Zitiervorschlag: § 3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