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SachenRBerG — Nicht mehr nutzbare Gebäude und nicht ausgeübte Nutzungen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Grundstückseigentümer kann die Bestellung des Erbbaurechts oder den Verkauf des Grundstücks an den Nutzer verweigern, wenn das Gebäude oder die bauliche Anlage</w:t>
      </w:r>
    </w:p>
    <w:p>
      <w:pPr>
        <w:ind w:left="420"/>
      </w:pPr>
      <w:r>
        <w:t xml:space="preserve">1. nicht mehr nutzbar und mit einer Rekonstruktion durch den Nutzer nicht mehr zu rechnen ist, oder</w:t>
      </w:r>
    </w:p>
    <w:p>
      <w:pPr>
        <w:ind w:left="420"/>
      </w:pPr>
      <w:r>
        <w:t xml:space="preserve">2. nicht mehr genutzt wird und mit einem Gebrauch durch den Nutzer nicht mehr zu rechnen ist.</w:t>
      </w:r>
    </w:p>
    <w:p>
      <w:r>
        <w:t xml:space="preserve">Ist die Nutzung für mindestens ein Jahr aufgegeben worden, so ist zu vermuten, daß eine Nutzung auch in Zukunft nicht stattfinden wird.</w:t>
      </w:r>
    </w:p>
    <w:p>
      <w:r>
        <w:t xml:space="preserve">(2) Ist ein Nutzungsrecht bestellt worden, steht dem Grundstückseigentümer die in Absatz 1 bezeichnete Einrede nur dann zu, wenn</w:t>
      </w:r>
    </w:p>
    <w:p>
      <w:pPr>
        <w:ind w:left="420"/>
      </w:pPr>
      <w:r>
        <w:t xml:space="preserve">1. die in Absatz 1 bezeichneten Voraussetzungen vorliegen oder der Nutzer das Grundstück nicht bebaut hat und</w:t>
      </w:r>
    </w:p>
    <w:p>
      <w:pPr>
        <w:ind w:left="420"/>
      </w:pPr>
      <w:r>
        <w:t xml:space="preserve">2. nach den persönlichen oder wirtschaftlichen Verhältnissen des Nutzers nur eine Verwertung durch Veräußerung zu erwarten ist oder das Gebäude oder die bauliche Anlage, für die das Nutzungsrecht bestellt wurde, an anderer Stelle errichtet wurde.</w:t>
      </w:r>
    </w:p>
    <w:p>
      <w:r>
        <w:t xml:space="preserve">(3) Der Grundstückseigentümer kann die Einreden aus den Absätzen 1 und 2 auch gegenüber dem Rechtsnachfolger des Nutzers erheben, wenn</w:t>
      </w:r>
    </w:p>
    <w:p>
      <w:pPr>
        <w:ind w:left="420"/>
      </w:pPr>
      <w:r>
        <w:t xml:space="preserve">1. der Nutzer bei Abschluß des der Veräußerung zugrunde liegenden Vertrages das Grundstück nicht bebaut hatte oder das Gebäude oder die bauliche Anlage nicht mehr nutzbar war,</w:t>
      </w:r>
    </w:p>
    <w:p>
      <w:pPr>
        <w:ind w:left="420"/>
      </w:pPr>
      <w:r>
        <w:t xml:space="preserve">2. das Eigentum am Gebäude aufgrund eines nach dem 20. Juli 1993 abgeschlossenen Vertrages übertragen worden ist und</w:t>
      </w:r>
    </w:p>
    <w:p>
      <w:pPr>
        <w:ind w:left="420"/>
      </w:pPr>
      <w:r>
        <w:t xml:space="preserve">3. der Rechtsnachfolger das Grundstück nicht bebaut oder das Gebäude oder die bauliche Anlage nicht wiederhergestellt hat.</w:t>
      </w:r>
    </w:p>
    <w:p>
      <w:r>
        <w:t xml:space="preserve">Hat der Rechtsnachfolger des Nutzers das Grundstück bebaut, so kann der Grundstückseigentümer die Bestellung eines Erbbaurechts oder den Ankauf des Grundstücks nicht verweigern. In diesem Fall bestimmen sich der Erbbauzins nach § 47 Abs. 3 und der Ankaufspreis nach § 70 Abs. 4.</w:t>
      </w:r>
    </w:p>
    <w:p>
      <w:r>
        <w:t xml:space="preserve">(4) Die Absätze 1 und 2 sind nicht anzuwenden, wenn</w:t>
      </w:r>
    </w:p>
    <w:p>
      <w:pPr>
        <w:ind w:left="420"/>
      </w:pPr>
      <w:r>
        <w:t xml:space="preserve">1. das Gebäude oder die bauliche Anlage noch nutzbar ist,</w:t>
      </w:r>
    </w:p>
    <w:p>
      <w:pPr>
        <w:ind w:left="420"/>
      </w:pPr>
      <w:r>
        <w:t xml:space="preserve">2. als Teil eines Unternehmens veräußert wird und</w:t>
      </w:r>
    </w:p>
    <w:p>
      <w:pPr>
        <w:ind w:left="420"/>
      </w:pPr>
      <w:r>
        <w:t xml:space="preserve">3. der Erwerber das Gebäude oder die bauliche Anlage nutzt und das Geschäft des Veräußerers fortführt.</w:t>
      </w:r>
    </w:p>
    <w:p>
      <w:r>
        <w:t xml:space="preserve">Satz 1 ist auf Veräußerungen von Unternehmen oder Unternehmensteilen durch einen Insolvenzverwalter im Wege eines Verfahrens nach der Insolvenzordnung entsprechend anzuwenden.</w:t>
      </w:r>
    </w:p>
    <w:p>
      <w:r>
        <w:t xml:space="preserve">(5) Erhebt der Grundstückseigentümer die in den Absätzen 1 und 2 bezeichnete Einrede, kann der Nutzer vom Grundstückseigentümer den Ankauf des Gebäudes oder der baulichen Anlage oder die Ablösung der aus der baulichen Investition begründeten Rechte nach § 81 Abs. 1 Satz 1 Nr. 2 verlangen. Der Grundstückseigentümer kann den Anspruch des Nutzers aus Satz 1 abwenden, indem er das Grundstück oder die Teilfläche, auf die sich die Ansprüche nach diesem Kapitel erstrecken, zu einem Verkauf mit dem Gebäude oder der baulichen Anlage bereitstellt. § 79 Abs. 1, 2 Satz 2 und Abs. 3 ist entsprechend anzuwenden. Eine Versteigerung ist entsprechend den §§ 180 bis 185 des Gesetzes über die Zwangsversteigerung und die Zwangsverwaltung vorzunehmen.</w:t>
      </w:r>
    </w:p>
    <w:p>
      <w:r>
        <w:rPr>
          <w:color w:val="555555"/>
          <w:sz w:val="17"/>
        </w:rPr>
        <w:t xml:space="preserve">Zitiervorschlag: § 29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