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SachenRBerG — Anderweitige Verfahren und Entscheidungen</w:t>
      </w:r>
    </w:p>
    <w:p>
      <w:r>
        <w:rPr>
          <w:color w:val="555555"/>
          <w:sz w:val="18"/>
        </w:rPr>
        <w:t xml:space="preserve">Sachenrechtsbereinigungsgesetz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Beteiligten können Ansprüche nach diesem Kapitel nicht verfolgen, wenn</w:t>
      </w:r>
    </w:p>
    <w:p>
      <w:pPr>
        <w:ind w:left="420"/>
      </w:pPr>
      <w:r>
        <w:t xml:space="preserve">1. für das Gebiet, in dem das Grundstück belegen ist, ein Bodenneuordnungsverfahren nach dem Bodensonderungsgesetz eingeleitet worden ist, in dem über einen Ausgleich des Grundstückseigentümers für einen Rechtsverlust entschieden wird, oder</w:t>
      </w:r>
    </w:p>
    <w:p>
      <w:pPr>
        <w:ind w:left="420"/>
      </w:pPr>
      <w:r>
        <w:t xml:space="preserve">2. in einem Verfahren auf Zusammenführung des Grundstücks- und Gebäudeeigentums nach § 64 des Landwirtschaftsanpassungsgesetzes Anordnungen zur Durchführung eines freiwilligen Landtausches oder eines Bodenordnungsverfahrens ergangen sind.</w:t>
      </w:r>
    </w:p>
    <w:p>
      <w:r>
        <w:t xml:space="preserve">Nummer 2 ist nicht anzuwenden, wenn das Verfahren ohne einen Landtausch oder eine bestandskräftige Entscheidung zur Feststellung und Neuordnung der Eigentumsverhältnisse beendet worden ist.</w:t>
      </w:r>
    </w:p>
    <w:p>
      <w:r>
        <w:rPr>
          <w:color w:val="555555"/>
          <w:sz w:val="17"/>
        </w:rPr>
        <w:t xml:space="preserve">Zitiervorschlag: § 28 SachenRBerG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https://recht.nulegal.eu/gesetze/SachenRBerG/28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