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SachenRBerG — Wohn-, Gewerbe- und Industriebauten ohne Klärung der Eigentumsverhältnisse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Soweit im komplexen Wohnungsbau oder Siedlungsbau oder durch gewerbliche (einschließlich industrielle) Vorhaben Bebauungen ohne Klärung der Eigentumsverhältnisse über Grundstücksgrenzen hinweg vorgenommen worden sind, erstrecken sich die Ansprüche nach diesem Kapitel in folgender Reihenfolge auf die Flächen,</w:t>
      </w:r>
    </w:p>
    <w:p>
      <w:pPr>
        <w:ind w:left="420"/>
      </w:pPr>
      <w:r>
        <w:t xml:space="preserve">1. deren Grenzen in Aufteilungs- oder Vermessungsunterlagen als Grundstücksgrenzen bis zum Ablauf des 2. Oktober 1990 ausgewiesen worden sind,</w:t>
      </w:r>
    </w:p>
    <w:p>
      <w:pPr>
        <w:ind w:left="420"/>
      </w:pPr>
      <w:r>
        <w:t xml:space="preserve">2. die entsprechend den Festsetzungen in einem Zuordnungsplan für die in dem Gebiet belegenen vormals volkseigenen Grundstücke für die zweckentsprechende Nutzung der zugeordneten Grundstücke erforderlich sind oder</w:t>
      </w:r>
    </w:p>
    <w:p>
      <w:pPr>
        <w:ind w:left="420"/>
      </w:pPr>
      <w:r>
        <w:t xml:space="preserve">3. die für eine zweckentsprechende Nutzung einer Bebauung der entsprechenden Art ortsüblich sind.</w:t>
      </w:r>
    </w:p>
    <w:p>
      <w:r>
        <w:t xml:space="preserve">(2) Entstehen durch die Bestellung von Erbbaurechten oder den Ankauf von Grundstücksteilen Restflächen, die für den Grundstückseigentümer nicht in angemessenem Umfang baulich oder wirtschaftlich nutzbar sind, so kann dieser von der Gemeinde den Ankauf der Restflächen verlangen. Der Kaufpreis ist nach den §§ 19, 20 und 68 zu bestimmen. Der Anspruch nach Satz 1 kann nicht vor dem 1. Januar 2000 geltend gemacht werden. Eine Bereinigung dieser Rechtsverhältnisse durch Enteignung, Umlegung oder Bodenneuordnung bleibt unberührt.</w:t>
      </w:r>
    </w:p>
    <w:p>
      <w:r>
        <w:rPr>
          <w:color w:val="555555"/>
          <w:sz w:val="17"/>
        </w:rPr>
        <w:t xml:space="preserve">Zitiervorschlag: § 24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