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SachenRBerG — Unvermessene volkseigene Grundstücke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Nutzungsrechte auf unvermessenen, vormals volkseigenen Grundstücken verliehen wurden, sind die Grenzen in folgender Reihenfolge zu bestimmen nach</w:t>
      </w:r>
    </w:p>
    <w:p>
      <w:pPr>
        <w:ind w:left="420"/>
      </w:pPr>
      <w:r>
        <w:t xml:space="preserve">1. einem Bescheid über die Vermögenszuordnung, soweit ein solcher ergangen ist und über die Grenzen der Nutzungsrechte Aufschluß gibt,</w:t>
      </w:r>
    </w:p>
    <w:p>
      <w:pPr>
        <w:ind w:left="420"/>
      </w:pPr>
      <w:r>
        <w:t xml:space="preserve">2. Vereinbarungen in Nutzungsverträgen oder</w:t>
      </w:r>
    </w:p>
    <w:p>
      <w:pPr>
        <w:ind w:left="420"/>
      </w:pPr>
      <w:r>
        <w:t xml:space="preserve">3. dem für ein Gebäude der entsprechenden Art zweckentsprechenden, ortsüblichen Umfang oder der Funktionsfläche der baulichen Anlage.</w:t>
      </w:r>
    </w:p>
    <w:p>
      <w:r>
        <w:rPr>
          <w:color w:val="555555"/>
          <w:sz w:val="17"/>
        </w:rPr>
        <w:t xml:space="preserve">Zitiervorschlag: § 23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