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SachenRBerG — Genossenschaftlich genutzte Flächen</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Soweit ein Nutzungsrecht für den Eigenheimbau zugewiesen worden ist oder ein Eigenheim von oder mit Billigung der landwirtschaftlichen Produktionsgenossenschaft oder aufgrund Nutzungsvertrages mit der Gemeinde errichtet worden ist, beziehen sich die gesetzlichen Ansprüche nach den §§ 32 und 61 auf die Fläche,</w:t>
      </w:r>
    </w:p>
    <w:p>
      <w:pPr>
        <w:ind w:left="420"/>
      </w:pPr>
      <w:r>
        <w:t xml:space="preserve">1. auf die sich nach der ehemaligen Liegenschaftsdokumentation das Nutzungsrecht erstreckt,</w:t>
      </w:r>
    </w:p>
    <w:p>
      <w:pPr>
        <w:ind w:left="420"/>
      </w:pPr>
      <w:r>
        <w:t xml:space="preserve">2. die in den Nutzungsverträgen mit den Gemeinden bezeichnet ist, soweit die Fläche für den Bau des Hauses überlassen worden ist, oder</w:t>
      </w:r>
    </w:p>
    <w:p>
      <w:pPr>
        <w:ind w:left="420"/>
      </w:pPr>
      <w:r>
        <w:t xml:space="preserve">3. die durch die landwirtschaftliche Produktionsgenossenschaft oder die Gemeinde dem Nutzer für den Bau des Eigenheimes oder im Zusammenhang mit dem Bau zugewiesen worden ist.</w:t>
      </w:r>
    </w:p>
    <w:p>
      <w:r>
        <w:t xml:space="preserve">(2) Absatz 1 ist auf andere Bebauungen genossenschaftlich genutzter Flächen entsprechend anzuwenden, soweit die Errichtung des Gebäudes oder der baulichen Anlage aufgrund zugewiesenen Nutzungsrechts erfolgte.</w:t>
      </w:r>
    </w:p>
    <w:p>
      <w:r>
        <w:t xml:space="preserve">(3) Die Ansprüche des Nutzers beschränken sich auf die Funktionsfläche (§ 12 Abs. 3 Satz 2 Nr. 2) des Gebäudes oder der baulichen Anlage, wenn die Bebauung aufgrund des aufgehobenen gesetzlichen Nutzungsrechts der landwirtschaftlichen Produktionsgenossenschaften vorgenommen worden ist oder durch Einbringung des Bauwerks in die landwirtschaftliche Produktionsgenossenschaft selbständiges Gebäudeeigentum entstanden ist. Handelt es sich um Betriebsgebäude, so sind die Flächen einzubeziehen, die für die zweckentsprechende Nutzung des Gebäudes im Betrieb des Nutzers notwendig sind.</w:t>
      </w:r>
    </w:p>
    <w:p>
      <w:r>
        <w:rPr>
          <w:color w:val="555555"/>
          <w:sz w:val="17"/>
        </w:rPr>
        <w:t xml:space="preserve">Zitiervorschlag: § 22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