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SachenRBerG — Nicht einbezogene Rechtsverhältnisse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Dieses Gesetz ist nicht anzuwenden, wenn der Nutzer das Grundstück</w:t>
      </w:r>
    </w:p>
    <w:p>
      <w:pPr>
        <w:ind w:left="420"/>
      </w:pPr>
      <w:r>
        <w:t xml:space="preserve">1. am 2. Oktober 1990 aufgrund eines Vertrages oder eines verliehenen Nutzungsrechts zur Erholung, Freizeitgestaltung oder kleingärtnerischen Bewirtschaftung oder als Standort für ein persönlichen, jedoch nicht Wohnzwecken dienendes Gebäude genutzt hat,</w:t>
      </w:r>
    </w:p>
    <w:p>
      <w:pPr>
        <w:ind w:left="420"/>
      </w:pPr>
      <w:r>
        <w:t xml:space="preserve">2. aufgrund eines Miet-, Pacht- oder sonstigen Nutzungsvertrages zu anderen als den in Nummer 1 genannten Zwecken bebaut hat, es sei denn, daß der Nutzer auf vertraglicher Grundlage eine bauliche Investition vorgenommen hat,</w:t>
      </w:r>
    </w:p>
    <w:p>
      <w:pPr>
        <w:ind w:left="780"/>
      </w:pPr>
      <w:r>
        <w:t xml:space="preserve">a) die in den §§ 5 bis 7 bezeichnet ist oder</w:t>
      </w:r>
    </w:p>
    <w:p>
      <w:pPr>
        <w:ind w:left="780"/>
      </w:pPr>
      <w:r>
        <w:t xml:space="preserve">b) zu deren Absicherung nach den Rechtsvorschriften der Deutschen Demokratischen Republik das Grundstück hätte als Bauland bereitgestellt werden und eine der in § 3 Abs. 2 Satz 1 bezeichneten Rechtspositionen begründet werden müssen,</w:t>
      </w:r>
    </w:p>
    <w:p>
      <w:pPr>
        <w:ind w:left="420"/>
      </w:pPr>
      <w:r>
        <w:t xml:space="preserve">3. mit Anlagen zur Verbesserung der land- und forstwirtschaftlichen Bodennutzung (wie Anlagen zur Beregnung, Drainagen) bebaut hat,</w:t>
      </w:r>
    </w:p>
    <w:p>
      <w:pPr>
        <w:ind w:left="420"/>
      </w:pPr>
      <w:r>
        <w:t xml:space="preserve">4. mit Gebäuden, die öffentlichen Zwecken gewidmet sind und bestimmten Verwaltungsaufgaben dienen (insbesondere Dienstgebäude, Universitäten, Schulen), oder mit dem Gemeingebrauch gewidmeten Anlagen bebaut hat, es sei denn, daß die Grundstücke im komplexen Wohnungsbau oder Siedlungsbau verwendet wurden oder in einem anderen nach einer einheitlichen Bebauungskonzeption überbauten Gebiet liegen, oder</w:t>
      </w:r>
    </w:p>
    <w:p>
      <w:pPr>
        <w:ind w:left="420"/>
      </w:pPr>
      <w:r>
        <w:t xml:space="preserve">5. aufgrund öffentlich-rechtlicher Bestimmungen der Deutschen Demokratischen Republik, die nach dem Einigungsvertrag fortgelten, bebaut hat.</w:t>
      </w:r>
    </w:p>
    <w:p>
      <w:r>
        <w:t xml:space="preserve">Satz 1 Nr. 1 ist entsprechend anzuwenden auf die von den in § 459 Abs. 1 Satz 1 des Zivilgesetzbuchs der Deutschen Demokratischen Republik bezeichneten juristischen Personen auf vertraglich genutzten Grundstücken zur Erholung, Freizeitgestaltung oder kleingärtnerischen Bewirtschaftung errichteten Gebäude, wenn diese allein zur persönlichen Nutzung durch Betriebsangehörige oder Dritte bestimmt waren. Dies gilt auch für Gebäude und bauliche Anlagen, die innerhalb einer Ferienhaus- oder Wochenendhaus- oder anderen Erholungszwecken dienenden Siedlung belegen sind und dieser als gemeinschaftliche Einrichtung dienen oder gedient haben.</w:t>
      </w:r>
    </w:p>
    <w:p>
      <w:r>
        <w:t xml:space="preserve">(2) Dieses Gesetz gilt ferner nicht, wenn der Nutzer</w:t>
      </w:r>
    </w:p>
    <w:p>
      <w:pPr>
        <w:ind w:left="420"/>
      </w:pPr>
      <w:r>
        <w:t xml:space="preserve">1. eine Partei, eine mit ihr verbundene Massenorganisation oder eine juristische Person im Sinne der §§ 20a und 20b des Parteiengesetzes der Deutschen Demokratischen Republik ist oder</w:t>
      </w:r>
    </w:p>
    <w:p>
      <w:pPr>
        <w:ind w:left="420"/>
      </w:pPr>
      <w:r>
        <w:t xml:space="preserve">2. ein Unternehmen oder ein Rechtsnachfolger eines Unternehmens ist, das bis zum 31. März 1990 oder zu einem früheren Zeitpunkt zum Bereich "Kommerzielle Koordinierung" gehört hat.</w:t>
      </w:r>
    </w:p>
    <w:p>
      <w:r>
        <w:t xml:space="preserve">(3) Die Bestimmungen über die Ansprüche eines Mitglieds einer landwirtschaftlichen Produktionsgenossenschaft oder des Nachfolgeunternehmens nach den §§ 43 bis 50 und § 64b des Landwirtschaftsanpassungsgesetzes gehen den Regelungen dieses Gesetzes vor.</w:t>
      </w:r>
    </w:p>
    <w:p>
      <w:r>
        <w:rPr>
          <w:color w:val="555555"/>
          <w:sz w:val="17"/>
        </w:rPr>
        <w:t xml:space="preserve">Zitiervorschlag: § 2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