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SachenRBerG — Pfleger für Grundstückseigentümer und Inhaber dinglicher Rechte</w:t>
      </w:r>
    </w:p>
    <w:p>
      <w:r>
        <w:rPr>
          <w:color w:val="555555"/>
          <w:sz w:val="18"/>
        </w:rPr>
        <w:t xml:space="preserve">Sachenrechtsbereinigungsgesetz</w:t>
      </w:r>
    </w:p>
    <w:p>
      <w:r>
        <w:rPr>
          <w:color w:val="555555"/>
          <w:sz w:val="18"/>
        </w:rPr>
        <w:t xml:space="preserve">Stand: 01.01.2023 (konsolidierte Textfassung, kein amtliches Inkrafttretensdatum)</w:t>
      </w:r>
    </w:p>
    <w:p>
      <w:r>
        <w:t xml:space="preserve">(1) Zur Verfolgung der Ansprüche des Nutzers ist auf dessen Antrag für den Grundstückseigentümer oder den Inhaber eines eingetragenen dinglichen Rechts ein Pfleger zu bestellen, wenn</w:t>
      </w:r>
    </w:p>
    <w:p>
      <w:pPr>
        <w:ind w:left="420"/>
      </w:pPr>
      <w:r>
        <w:t xml:space="preserve">1. nach den Eintragungen im Grundbuch das Eigentum oder das dingliche Recht an der mit einem Nutzungsrecht belasteten oder bebauten Fläche einer bestimmten Person nicht zugeordnet werden kann,</w:t>
      </w:r>
    </w:p>
    <w:p>
      <w:pPr>
        <w:ind w:left="420"/>
      </w:pPr>
      <w:r>
        <w:t xml:space="preserve">2. die Person des Berechtigten unbekannt ist,</w:t>
      </w:r>
    </w:p>
    <w:p>
      <w:pPr>
        <w:ind w:left="420"/>
      </w:pPr>
      <w:r>
        <w:t xml:space="preserve">3. der Aufenthaltsort des abwesenden Berechtigten unbekannt ist oder dessen Aufenthalt zwar bekannt, der Berechtigte jedoch an der Besorgung seiner Angelegenheiten verhindert ist,</w:t>
      </w:r>
    </w:p>
    <w:p>
      <w:pPr>
        <w:ind w:left="420"/>
      </w:pPr>
      <w:r>
        <w:t xml:space="preserve">4. die Beteiligung in Gesamthandsgemeinschaften, Miteigentümergemeinschaften nach Bruchteilen oder gleichartigen Berechtigungen an einem dinglichen Recht unbekannt ist und die Berechtigten einen gemeinsamen Vertreter nicht bestellt haben oder</w:t>
      </w:r>
    </w:p>
    <w:p>
      <w:pPr>
        <w:ind w:left="420"/>
      </w:pPr>
      <w:r>
        <w:t xml:space="preserve">5. das Grundstück herrenlos ist.</w:t>
      </w:r>
    </w:p>
    <w:p>
      <w:r>
        <w:t xml:space="preserve">(2) Für die Bestellung und die Tätigkeit des Pflegers sind die Vorschriften des Bürgerlichen Gesetzbuchs über die Pflegschaft entsprechend anzuwenden. Zuständig für die Bestellung des Pflegers ist das Betreuungsgericht, in dessen Bezirk das Grundstück ganz oder zum größten Teil belegen ist; ist der Grundstückseigentümer oder der Inhaber des eingetragenen dinglichen Rechts minderjährig, tritt an die Stelle des Betreuungsgerichts das Familiengericht.</w:t>
      </w:r>
    </w:p>
    <w:p>
      <w:r>
        <w:t xml:space="preserve">(3) Der nach § 11b Abs. 1 des Vermögensgesetzes oder Artikel 233 § 2 Abs. 3 des Einführungsgesetzes zum Bürgerlichen Gesetzbuche bestellte Vertreter nimmt auch die Aufgaben eines Pflegers nach diesem Kapitel wahr. Er kann den Grundstückseigentümer jedoch nicht vertreten bei einem Vertragsschluß zwischen diesem und</w:t>
      </w:r>
    </w:p>
    <w:p>
      <w:pPr>
        <w:ind w:left="420"/>
      </w:pPr>
      <w:r>
        <w:t xml:space="preserve">1. ihm selbst, seinem Ehegatten oder einem seiner Verwandten in gerader Linie,</w:t>
      </w:r>
    </w:p>
    <w:p>
      <w:pPr>
        <w:ind w:left="420"/>
      </w:pPr>
      <w:r>
        <w:t xml:space="preserve">2. einer Gebietskörperschaft oder einer von ihr beherrschten juristischen Person, wenn der Vertreter bei dieser als Organ oder gegen Entgelt beschäftigt ist, oder</w:t>
      </w:r>
    </w:p>
    <w:p>
      <w:pPr>
        <w:ind w:left="420"/>
      </w:pPr>
      <w:r>
        <w:t xml:space="preserve">3. einer anderen juristischen Person des öffentlichen oder privaten Rechts, wenn der Vertreter bei dieser als Mitglied des Vorstands, Aufsichtsrats oder eines gleichartigen Organs tätig oder gegen Entgelt beschäftigt ist.</w:t>
      </w:r>
    </w:p>
    <w:p>
      <w:r>
        <w:t xml:space="preserve">Der Vertreter ist für den Abschluß von Erbbaurechtsverträgen oder Kaufverträgen über das Grundstück oder das Gebäude von den Beschränkungen des § 181 des Bürgerlichen Gesetzbuchs nicht befreit. Für die Erteilung der Genehmigung nach § 1850 des Bürgerlichen Gesetzbuchs ist statt des Landkreises das Betreuungsgericht zuständig; ist der Vertretene minderjährig, tritt an die Stelle des Betreuungsgerichts das Familiengericht.</w:t>
      </w:r>
    </w:p>
    <w:p>
      <w:r>
        <w:rPr>
          <w:color w:val="555555"/>
          <w:sz w:val="17"/>
        </w:rPr>
        <w:t xml:space="preserve">Zitiervorschlag: § 17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SachenRBerG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